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FF" w:rsidRPr="00784DFF" w:rsidRDefault="00784DFF" w:rsidP="00784DF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73A0CF"/>
          <w:sz w:val="34"/>
          <w:szCs w:val="34"/>
          <w:lang w:eastAsia="ru-RU"/>
        </w:rPr>
      </w:pPr>
      <w:r w:rsidRPr="00784DFF">
        <w:rPr>
          <w:rFonts w:ascii="Arial" w:eastAsia="Times New Roman" w:hAnsi="Arial" w:cs="Arial"/>
          <w:caps/>
          <w:color w:val="73A0CF"/>
          <w:sz w:val="31"/>
          <w:lang w:eastAsia="ru-RU"/>
        </w:rPr>
        <w:t>ПРАВОВОЕ ПРОСВЕЩЕНИЕ</w:t>
      </w:r>
    </w:p>
    <w:p w:rsidR="00503C41" w:rsidRDefault="00503C41" w:rsidP="00784DFF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73A0CF"/>
          <w:sz w:val="27"/>
          <w:szCs w:val="27"/>
          <w:lang w:eastAsia="ru-RU"/>
        </w:rPr>
      </w:pPr>
    </w:p>
    <w:p w:rsidR="00784DFF" w:rsidRPr="00784DFF" w:rsidRDefault="00784DFF" w:rsidP="00784DFF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73A0CF"/>
          <w:sz w:val="27"/>
          <w:szCs w:val="27"/>
          <w:lang w:eastAsia="ru-RU"/>
        </w:rPr>
      </w:pPr>
      <w:hyperlink r:id="rId5" w:history="1">
        <w:r w:rsidRPr="00784DFF">
          <w:rPr>
            <w:rFonts w:ascii="Arial" w:eastAsia="Times New Roman" w:hAnsi="Arial" w:cs="Arial"/>
            <w:color w:val="73A0CF"/>
            <w:sz w:val="27"/>
            <w:lang w:eastAsia="ru-RU"/>
          </w:rPr>
          <w:t>О порядке выдаче трудовой книжки</w:t>
        </w:r>
      </w:hyperlink>
    </w:p>
    <w:p w:rsidR="00784DFF" w:rsidRPr="00784DFF" w:rsidRDefault="00784DFF" w:rsidP="0078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84.1 Трудового кодекса Российской Федерации в день прекращения трудового договора работодатель обязан выдать работнику трудовую книжку или предоставить сведения о трудовой деятельности (если работник выбрал электронную  форму формирования данных сведений).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такие действия совершить невозможно в связи с отсутствием работника либо его отказом от получения, работодатель обязан направить ему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носителе, заверенные надлежащим образом.</w:t>
      </w:r>
      <w:proofErr w:type="gramEnd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дня направления указанного уведомления работодатель освобождается от ответственности за задержку выдачи трудовой книжки.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противном случае в соответствии со статьей 234 Трудового кодекса Российской Федерации работодатель обязан возместить работнику не полученный им заработок при незаконном лишении его возможности трудиться. Сам факт отсутствия у работника трудовой книжки расценивается как препятствие к трудоустройству.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Полагающаяся уволенному работнику выплата рассчитывается исходя из среднего заработка в </w:t>
      </w:r>
      <w:proofErr w:type="gramStart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порядке, предусмотренном статьей 139 Трудового кодекса Российской Федерации и право на ее получение возникает</w:t>
      </w:r>
      <w:proofErr w:type="gramEnd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следующего дня после увольнения, когда трудовая книжка не была выдана, за весь период задержки выдачи трудовой книжки, предоставления сведений о трудовой деятельности.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4DFF" w:rsidRPr="00784DFF" w:rsidRDefault="00784DFF" w:rsidP="0078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4DFF" w:rsidRPr="00784DFF" w:rsidRDefault="00784DFF" w:rsidP="0078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Т.А.Краснова</w:t>
      </w:r>
    </w:p>
    <w:p w:rsidR="0091665D" w:rsidRDefault="0091665D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Pr="00784DFF" w:rsidRDefault="00784DFF" w:rsidP="00784DFF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73A0CF"/>
          <w:sz w:val="27"/>
          <w:szCs w:val="27"/>
          <w:lang w:eastAsia="ru-RU"/>
        </w:rPr>
      </w:pPr>
      <w:hyperlink r:id="rId6" w:history="1">
        <w:r w:rsidRPr="00784DFF">
          <w:rPr>
            <w:rFonts w:ascii="Arial" w:eastAsia="Times New Roman" w:hAnsi="Arial" w:cs="Arial"/>
            <w:color w:val="73A0CF"/>
            <w:sz w:val="27"/>
            <w:lang w:eastAsia="ru-RU"/>
          </w:rPr>
          <w:t>Запреты и ограничения при заключении трудового договора с несовершеннолетними</w:t>
        </w:r>
      </w:hyperlink>
    </w:p>
    <w:p w:rsidR="00784DFF" w:rsidRPr="00784DFF" w:rsidRDefault="00784DFF" w:rsidP="00784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784DFF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784DFF" w:rsidRPr="00784DFF" w:rsidRDefault="00784DFF" w:rsidP="00784DFF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84DFF" w:rsidRPr="00784DFF" w:rsidRDefault="00784DFF" w:rsidP="00784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запрещается привлекать несовершеннолетних к работе с вредными или опасными условиями труда, подземным работам, а также к работе, выполнение которой может причинить вред их здоровью и нравственному развитию.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труда несовершеннолетних должны отвечать законодательно утвержденным санитарным </w:t>
      </w:r>
      <w:hyperlink r:id="rId7" w:history="1">
        <w:r w:rsidRPr="00784DFF">
          <w:rPr>
            <w:rFonts w:ascii="Times New Roman" w:eastAsia="Times New Roman" w:hAnsi="Times New Roman" w:cs="Times New Roman"/>
            <w:color w:val="73A0CF"/>
            <w:sz w:val="28"/>
            <w:szCs w:val="28"/>
            <w:lang w:eastAsia="ru-RU"/>
          </w:rPr>
          <w:t>требованиям</w:t>
        </w:r>
      </w:hyperlink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продолжительность их рабочего времени и ежедневной работы должны быть сокращенными.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запрещается направление несовершеннолетних в служебные командировки, привлечение к работе в ночное время, в выходные и нерабочие праздничные дни (за исключением творческих работников).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запрещено включать в трудовой договор условие об испытании.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допускается привлечение несовершеннолетних к сверхурочной работе.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оплачиваемый отпуск должен предоставляться ежегодно продолжительностью 31 календарный день в удобное для работника время. При этом по заявлению работника оплачиваемый отпуск за первый рабочий год должен быть предоставлен и до истечения шести месяцев непрерывной работы. Также недопустимы замена отпуска денежной компенсацией и отзыв из отпуска.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допускается заключение с несовершеннолетним договора о полной материальной ответственности.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знать, что расторжение трудового договора по инициативе работодателя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родитель либо попечитель ребенка, а также орган опеки и попечительства вправе требовать расторжения трудового договора с учащимся, не достигшим возраста 15 лет, если работа оказывает негативное влияние на здоровье ребенка.</w:t>
      </w:r>
    </w:p>
    <w:p w:rsidR="00784DFF" w:rsidRDefault="00784DFF" w:rsidP="00784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84DFF" w:rsidRDefault="00784DFF" w:rsidP="00784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84DFF" w:rsidRDefault="00784DFF" w:rsidP="00784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84DFF" w:rsidRPr="00784DFF" w:rsidRDefault="00784DFF" w:rsidP="00784DFF">
      <w:pPr>
        <w:shd w:val="clear" w:color="auto" w:fill="FFFFFF"/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</w:t>
      </w: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Т.А.Краснова</w:t>
      </w: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Pr="00784DFF" w:rsidRDefault="00784DFF" w:rsidP="00784DFF">
      <w:pPr>
        <w:shd w:val="clear" w:color="auto" w:fill="FFFFFF"/>
        <w:spacing w:after="15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73A0CF"/>
          <w:sz w:val="28"/>
          <w:szCs w:val="28"/>
          <w:lang w:eastAsia="ru-RU"/>
        </w:rPr>
      </w:pPr>
      <w:hyperlink r:id="rId8" w:history="1">
        <w:r w:rsidRPr="00784DFF">
          <w:rPr>
            <w:rFonts w:ascii="Times New Roman" w:eastAsia="Times New Roman" w:hAnsi="Times New Roman" w:cs="Times New Roman"/>
            <w:color w:val="73A0CF"/>
            <w:sz w:val="28"/>
            <w:szCs w:val="28"/>
            <w:lang w:eastAsia="ru-RU"/>
          </w:rPr>
          <w:t>Ликвидация организации – особенности увольнения</w:t>
        </w:r>
      </w:hyperlink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Работники могут быть уволены по такому основанию, как ликвидация организации-работодателя. В этом случае допускается увольнение, в том числе беременных работниц, а также работников в период их временной нетрудоспособности и в период пребывания в отпуске. Не менее чем за два месяца до увольнения работодатель должен персонально и под подпись уведомить работников о предстоящем увольнении (</w:t>
      </w:r>
      <w:proofErr w:type="gramStart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 ст. 180 Трудового кодекса Российской Федерации). При этом работодатель должен выдать каждому работнику персональное уведомление. Если работник отказывается ставить подпись в уведомлении, работодатель оформляет соответствующий акт.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работников, увольняемых в связи с ликвидацией организации, закрепляются законодательные гарантии получения всех причитающихся им выплат после прекращения деятельности юридического лица: устанавливается обязанность работодателя по выплате среднего месячного заработка за второй месяц после увольнения, а также в исключительных случаях при наличии решения органа службы занятости населения - за третий месяц после увольнения (или соответствующую часть среднего заработка пропорциональную периоду трудоустройства);</w:t>
      </w:r>
      <w:proofErr w:type="gramEnd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работодателю предоставляется право выплатить увольняемому работнику единовременную компенсацию в размере двукратного месячного заработка.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день прекращения трудового договора работодатель обязан также выплатить все причитающиеся работнику суммы, в частности заработную плату за отработанное время, компенсацию за все неиспользованные отпуска и выходное пособие. В случае спора о размерах сумм, причитающихся работнику при увольнении, работодатель обязан в день увольнения выплатить не оспариваемую им сумму. Выплаты среднего месячного заработка за период трудоустройства и (или) выплата единовременной компенсации в любом случае должны быть произведены до завершения ликвидации организации.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Работникам районов Крайнего Севера и приравненных к ним местностей выплачивается выходное пособие в размере среднего месячного заработка.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работников, увольняемых в связи с ликвидацией организации, закрепляются законодательные гарантии получения всех причитающихся им выплат после прекращения деятельности юридического лица: устанавливается обязанность работодателя по выплате среднего месячного заработка за второй месяц после увольнения, а если длительность периода трудоустройства превышает два месяца, - за третий месяц со дня увольнения. В исключительных случаях при наличии решения органа службы занятости населения - за четвертый, пятый и шестой месяцы после увольнения (или </w:t>
      </w: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соответствующую часть среднего заработка пропорциональную периоду трудоустройства).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для них установлен более длительный период сохранения среднего заработка на период трудоустройства. В случае нарушения трудовых прав Вы можете обратиться в Государственную инспекцию труда или органы прокуратуры.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4DFF" w:rsidRPr="00784DFF" w:rsidRDefault="00784DFF" w:rsidP="0078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Т.А.Краснова</w:t>
      </w:r>
    </w:p>
    <w:p w:rsidR="00784DFF" w:rsidRPr="00784DFF" w:rsidRDefault="00784DFF" w:rsidP="00784D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784DFF" w:rsidRPr="00784DFF" w:rsidRDefault="00784DFF" w:rsidP="00784DFF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73A0CF"/>
          <w:sz w:val="28"/>
          <w:szCs w:val="28"/>
          <w:lang w:eastAsia="ru-RU"/>
        </w:rPr>
      </w:pPr>
      <w:hyperlink r:id="rId9" w:history="1">
        <w:r w:rsidRPr="00784DFF">
          <w:rPr>
            <w:rFonts w:ascii="Times New Roman" w:eastAsia="Times New Roman" w:hAnsi="Times New Roman" w:cs="Times New Roman"/>
            <w:color w:val="73A0CF"/>
            <w:sz w:val="28"/>
            <w:szCs w:val="28"/>
            <w:lang w:eastAsia="ru-RU"/>
          </w:rPr>
          <w:t>Конфликт интересов при заключении государственных и муниципальных контрактов</w:t>
        </w:r>
      </w:hyperlink>
    </w:p>
    <w:p w:rsidR="00784DFF" w:rsidRPr="00784DFF" w:rsidRDefault="00784DFF" w:rsidP="0078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Закупки для государственных и муниципальных нужд являются одной из сфер экономики, наиболее подверженных коррупционным проявлениям.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противодействия таким проявлениям заказчик устанавливает к участникам закупки единые требования, предусмотренные Федерального закона от 05.03.2013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таких обязательных требований является отсутствие конфликта интересов между участниками закупки и заказчиком (п. 9 ч. 1 ст. 31 Закона  о контрактной системе).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Указанным законом определено, что под конфликтом интересов понимаются ситуации, при которых должностные лица заказчика, непосредственно участвующие в процессе закупок, состоят в браке либо являются близкими родственниками, усыновителями или усыновленными </w:t>
      </w:r>
      <w:proofErr w:type="gramStart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84DFF" w:rsidRPr="00784DFF" w:rsidRDefault="00641B23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DFF"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физическими лицами и индивидуальными предпринимателями – участниками закупки;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выгодоприобретателями</w:t>
      </w:r>
      <w:proofErr w:type="spellEnd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физическими лицами, владеющими напрямую или косвенно (через юридическое лицо или через несколько юридических лиц) более чем 10% голосующих акций хозяйственного общества либо долей, превышающей 10% в уставном капитале хозяйственного общества, – участника закупки;</w:t>
      </w:r>
    </w:p>
    <w:p w:rsidR="00784DFF" w:rsidRPr="00784DFF" w:rsidRDefault="00641B23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DFF"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единоличным исполнительным органом хозяйственного общества (директором, генеральным директором, управляющим, президентом и т.д.);</w:t>
      </w:r>
    </w:p>
    <w:p w:rsidR="00784DFF" w:rsidRPr="00784DFF" w:rsidRDefault="00641B23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DFF"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членами коллегиального исполнительного органа хозяйственного общества;</w:t>
      </w:r>
    </w:p>
    <w:p w:rsidR="00784DFF" w:rsidRPr="00784DFF" w:rsidRDefault="00641B23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DFF"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руководителем учреждения или унитарного предприятия;</w:t>
      </w:r>
    </w:p>
    <w:p w:rsidR="00784DFF" w:rsidRPr="00784DFF" w:rsidRDefault="00641B23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DFF"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иными органами управления юридических лиц – участников закупки.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обнаружении конфликта интересов заказчик обязан отказать в заключени</w:t>
      </w:r>
      <w:proofErr w:type="gramStart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контракта.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Контракт, заключенный при наличии конфликта интересов, является ничтожной сделкой, так как нарушает прямо установленный законодательный запрет и посягает на публичные интересы.</w:t>
      </w:r>
    </w:p>
    <w:p w:rsidR="00784DFF" w:rsidRPr="00784DFF" w:rsidRDefault="00784DFF" w:rsidP="0078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требований законодательства в указанной части при осуществлении закупок товаров, работ, услуг для обеспечения государственных и муниципальных нужд позволит избежать негативных последствий в виде судебных расходов, административных штрафов, а также финансовых потерь, связанных с исполнением незаконного контракта.</w:t>
      </w:r>
    </w:p>
    <w:p w:rsidR="00784DFF" w:rsidRPr="00784DFF" w:rsidRDefault="00784DFF" w:rsidP="0078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4DFF" w:rsidRPr="00784DFF" w:rsidRDefault="00784DFF" w:rsidP="0078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4DFF" w:rsidRPr="00784DFF" w:rsidRDefault="00784DFF" w:rsidP="0078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Т.А.Краснова</w:t>
      </w:r>
    </w:p>
    <w:p w:rsidR="00784DFF" w:rsidRPr="00784DFF" w:rsidRDefault="00784DFF" w:rsidP="00784DF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84DFF" w:rsidRPr="00784DFF" w:rsidRDefault="00784DFF" w:rsidP="00641B23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73A0CF"/>
          <w:sz w:val="27"/>
          <w:szCs w:val="27"/>
          <w:lang w:eastAsia="ru-RU"/>
        </w:rPr>
      </w:pPr>
      <w:hyperlink r:id="rId10" w:history="1">
        <w:r w:rsidRPr="00784DFF">
          <w:rPr>
            <w:rFonts w:ascii="Arial" w:eastAsia="Times New Roman" w:hAnsi="Arial" w:cs="Arial"/>
            <w:color w:val="73A0CF"/>
            <w:sz w:val="27"/>
            <w:lang w:eastAsia="ru-RU"/>
          </w:rPr>
          <w:t>Меры по предупреждению коррупции для юридических лиц</w:t>
        </w:r>
      </w:hyperlink>
    </w:p>
    <w:p w:rsidR="00784DFF" w:rsidRPr="00784DFF" w:rsidRDefault="00784DFF" w:rsidP="00784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784DFF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641B23" w:rsidRDefault="00641B23" w:rsidP="00784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статьи 3 Федерального закона от 25.12.2008 № 273-ФЗ «О противодействии коррупции» к основным принципам противодействия коррупции отнесено приоритетное применение мер по ее предупреждению.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активизации этого процесса с 1 января 2013 года действует статья 13.3 названного Федерального закона, устанавливающая обязанность организаций принимать меры по предупреждению коррупции.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обязанность распространяется на все организации (юридические лица) независимо от их форм собственности, организационно-правовой формы и штатной численности, то есть не только на государственные и муниципальные учреждения и предприятия, но и на акционерные общества, общества с ограниченной ответственностью, иные коммерческие и общественные организации.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части 2 статьи 13.3 закона содержится примерный перечень мер по предупреждению коррупции, которые могут приниматься в организации. Среди них: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сотрудничество организации с правоохранительными органами;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разработка и внедрение в практику стандартов и процедур, направленных на обеспечение добросовестной работы организации;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принятие кодекса этики и служебного поведения работников организации;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предотвращение и урегулирование конфликта интересов;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формирования единого подхода к обеспечению работы по профилактике и противодействию коррупции в организациях Минтруда Российской Федерации разработаны Методические рекомендации по разработке и принятию организациями мер по предупреждению и противодействию коррупции.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организациям предлагается закрепить в едином документе, с названием «</w:t>
      </w:r>
      <w:proofErr w:type="spellStart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Антикоррупционная</w:t>
      </w:r>
      <w:proofErr w:type="spellEnd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политика (наименование организации)» сведения о реализуемой в организации </w:t>
      </w:r>
      <w:proofErr w:type="spellStart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антикоррупционной</w:t>
      </w:r>
      <w:proofErr w:type="spellEnd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политике.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содержат как алгоритм разработки данного документа, так и предложения по его содержанию и последующему исполнению.</w:t>
      </w:r>
    </w:p>
    <w:p w:rsidR="00784DFF" w:rsidRPr="00784DFF" w:rsidRDefault="00784DFF" w:rsidP="0064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Методические рекомендации содержат большое количество справочной информации по вопросам противодействия коррупции, в том числе: сборник положений нормативных правовых актов, устанавливающих меры ответственности за совершение коррупционных правонарушений; нормативные правовые акты зарубежных государств по вопросам противодействия коррупции, имеющие экстерриториальное </w:t>
      </w: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действие; обзор типовых ситуаций конфликта интересов; типовую декларацию конфликта интересов, </w:t>
      </w:r>
      <w:proofErr w:type="spellStart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антикоррупционную</w:t>
      </w:r>
      <w:proofErr w:type="spellEnd"/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хартию российского бизнеса.</w:t>
      </w:r>
      <w:proofErr w:type="gramEnd"/>
    </w:p>
    <w:p w:rsidR="00641B23" w:rsidRPr="00641B23" w:rsidRDefault="00641B23" w:rsidP="00641B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1B23" w:rsidRPr="00641B23" w:rsidRDefault="00641B23" w:rsidP="00641B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4DFF" w:rsidRPr="00784DFF" w:rsidRDefault="00784DFF" w:rsidP="00641B23">
      <w:pPr>
        <w:shd w:val="clear" w:color="auto" w:fill="FFFFFF"/>
        <w:tabs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</w:t>
      </w:r>
      <w:r w:rsidR="0064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B23" w:rsidRPr="0064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Т.А.Краснова</w:t>
      </w:r>
    </w:p>
    <w:p w:rsidR="00784DFF" w:rsidRDefault="00784DFF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Default="00641B23">
      <w:pPr>
        <w:rPr>
          <w:rFonts w:ascii="Times New Roman" w:hAnsi="Times New Roman" w:cs="Times New Roman"/>
          <w:sz w:val="28"/>
          <w:szCs w:val="28"/>
        </w:rPr>
      </w:pPr>
    </w:p>
    <w:p w:rsidR="00641B23" w:rsidRPr="00503C41" w:rsidRDefault="00641B23" w:rsidP="00503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C41">
        <w:rPr>
          <w:rFonts w:ascii="Times New Roman" w:hAnsi="Times New Roman" w:cs="Times New Roman"/>
          <w:b/>
          <w:sz w:val="32"/>
          <w:szCs w:val="32"/>
        </w:rPr>
        <w:t>Долги граждан по ЖКХ запрещено передавать коллекторам</w:t>
      </w:r>
    </w:p>
    <w:p w:rsidR="00641B23" w:rsidRPr="00503C41" w:rsidRDefault="00641B23" w:rsidP="00503C41">
      <w:pPr>
        <w:spacing w:after="0"/>
      </w:pPr>
    </w:p>
    <w:p w:rsidR="00641B23" w:rsidRPr="00503C41" w:rsidRDefault="00641B23" w:rsidP="00503C4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03C41">
        <w:rPr>
          <w:rFonts w:ascii="Times New Roman" w:hAnsi="Times New Roman" w:cs="Times New Roman"/>
          <w:sz w:val="28"/>
          <w:szCs w:val="28"/>
        </w:rPr>
        <w:t xml:space="preserve">Федеральным законом от 26 июля 2019 г № 214-ФЗ «О внесении изменений в статьи 155 и 162 Жилищного кодекса Российской Федерации и статью 1 Федерального закона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503C41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503C41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503C41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503C41">
        <w:rPr>
          <w:rFonts w:ascii="Times New Roman" w:hAnsi="Times New Roman" w:cs="Times New Roman"/>
          <w:sz w:val="28"/>
          <w:szCs w:val="28"/>
        </w:rPr>
        <w:t xml:space="preserve"> организациях» были внесены соответствующие изменения в федеральное законодательство.      </w:t>
      </w:r>
      <w:proofErr w:type="gramEnd"/>
    </w:p>
    <w:p w:rsidR="00641B23" w:rsidRPr="00503C41" w:rsidRDefault="00641B23" w:rsidP="00503C4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03C41">
        <w:rPr>
          <w:rFonts w:ascii="Times New Roman" w:hAnsi="Times New Roman" w:cs="Times New Roman"/>
          <w:sz w:val="28"/>
          <w:szCs w:val="28"/>
        </w:rPr>
        <w:t xml:space="preserve">Согласно установленным требованиям, управляющая организация, товарищество собственников жилья либо жилищный кооператив или иной специализированный потребительский кооператив, </w:t>
      </w:r>
      <w:proofErr w:type="spellStart"/>
      <w:r w:rsidRPr="00503C41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503C41">
        <w:rPr>
          <w:rFonts w:ascii="Times New Roman" w:hAnsi="Times New Roman" w:cs="Times New Roman"/>
          <w:sz w:val="28"/>
          <w:szCs w:val="28"/>
        </w:rPr>
        <w:t xml:space="preserve"> организация, региональный оператор по обращению с твердыми коммунальными отходами, которым в соответствии с настоящим Кодексом вносится плата за жилое помещение и коммунальные услуги, не вправе уступать право (требование) по возврату просроченной задолженности по внесению платы за жилое помещение и коммунальные услуги третьим лицам</w:t>
      </w:r>
      <w:proofErr w:type="gramEnd"/>
      <w:r w:rsidRPr="00503C41">
        <w:rPr>
          <w:rFonts w:ascii="Times New Roman" w:hAnsi="Times New Roman" w:cs="Times New Roman"/>
          <w:sz w:val="28"/>
          <w:szCs w:val="28"/>
        </w:rPr>
        <w:t xml:space="preserve">, в том числе кредитным организациям или лицам, осуществляющим деятельность по возврату просроченной задолженности физических лиц. </w:t>
      </w:r>
    </w:p>
    <w:p w:rsidR="00641B23" w:rsidRPr="00503C41" w:rsidRDefault="00641B23" w:rsidP="00503C4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3C41">
        <w:rPr>
          <w:rFonts w:ascii="Times New Roman" w:hAnsi="Times New Roman" w:cs="Times New Roman"/>
          <w:sz w:val="28"/>
          <w:szCs w:val="28"/>
        </w:rPr>
        <w:t>Заключенный в таком случае договор об уступке права (требования) по возврату просроченной задолженности по внесению платы за жилое помещение и коммунальные услуги считается ничтожным.</w:t>
      </w:r>
    </w:p>
    <w:p w:rsidR="00641B23" w:rsidRPr="00503C41" w:rsidRDefault="00641B23" w:rsidP="00503C4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3C41">
        <w:rPr>
          <w:rFonts w:ascii="Times New Roman" w:hAnsi="Times New Roman" w:cs="Times New Roman"/>
          <w:sz w:val="28"/>
          <w:szCs w:val="28"/>
        </w:rPr>
        <w:t>Право требования можно уступать только профессиональным участникам рынка ЖКХ.</w:t>
      </w:r>
    </w:p>
    <w:p w:rsidR="00641B23" w:rsidRPr="00503C41" w:rsidRDefault="00641B23" w:rsidP="00503C4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3C41">
        <w:rPr>
          <w:rFonts w:ascii="Times New Roman" w:hAnsi="Times New Roman" w:cs="Times New Roman"/>
          <w:sz w:val="28"/>
          <w:szCs w:val="28"/>
        </w:rPr>
        <w:t>Также запрещено погашать долги за счет соседей. Каждый собственник отвечает только по своим обязательствам</w:t>
      </w:r>
    </w:p>
    <w:p w:rsidR="00641B23" w:rsidRDefault="00641B23" w:rsidP="00503C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B23" w:rsidRDefault="00641B23" w:rsidP="00503C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B23" w:rsidRPr="00784DFF" w:rsidRDefault="00641B23" w:rsidP="00641B23">
      <w:pPr>
        <w:shd w:val="clear" w:color="auto" w:fill="FFFFFF"/>
        <w:tabs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Т.А.Краснова</w:t>
      </w:r>
    </w:p>
    <w:p w:rsidR="00641B23" w:rsidRDefault="00641B23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41" w:rsidRPr="00784DFF" w:rsidRDefault="00503C41" w:rsidP="00641B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3C41" w:rsidRPr="00784DFF" w:rsidSect="0091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DFF"/>
    <w:rsid w:val="00503C41"/>
    <w:rsid w:val="00641B23"/>
    <w:rsid w:val="00784DFF"/>
    <w:rsid w:val="0091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5D"/>
  </w:style>
  <w:style w:type="paragraph" w:styleId="2">
    <w:name w:val="heading 2"/>
    <w:basedOn w:val="a"/>
    <w:link w:val="20"/>
    <w:uiPriority w:val="9"/>
    <w:qFormat/>
    <w:rsid w:val="00784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784DFF"/>
  </w:style>
  <w:style w:type="character" w:styleId="a3">
    <w:name w:val="Hyperlink"/>
    <w:basedOn w:val="a0"/>
    <w:uiPriority w:val="99"/>
    <w:semiHidden/>
    <w:unhideWhenUsed/>
    <w:rsid w:val="00784D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1B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5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5750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2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3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1555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04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3421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8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58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holm.ru/index.php/prockr/procinf/3621-likvidatsiya-organizatsii-osobennosti-uvolneniy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0415BAEC4030AECF07E5712BB7F1A95A90A05E16F0DC1133C0CF2BBB286B4EEABE42484104BAq4x0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holm.ru/index.php/prockr/procinf/3602-zaprety-i-ogranicheniya-pri-zaklyuchenii-trudovogo-dogovora-s-nesovershennoletnim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rholm.ru/index.php/prockr/procinf/3632-o-poryadke-vydache-trudovoj-knizhki" TargetMode="External"/><Relationship Id="rId10" Type="http://schemas.openxmlformats.org/officeDocument/2006/relationships/hyperlink" Target="http://krholm.ru/index.php/prockr/procinf/3631-mery-po-preduprezhdeniyu-korruptsii-dlya-yuridicheskikh-li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holm.ru/index.php/prockr/procinf/3630-konflikt-interesov-pri-zaklyuchenii-gosudarstvennykh-i-munitsipalnykh-kontrak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3AC78-3CC2-4BFA-A7BB-EBA08AFA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Acer-PK</dc:creator>
  <cp:lastModifiedBy>Acer-PK</cp:lastModifiedBy>
  <cp:revision>1</cp:revision>
  <dcterms:created xsi:type="dcterms:W3CDTF">2021-06-29T10:59:00Z</dcterms:created>
  <dcterms:modified xsi:type="dcterms:W3CDTF">2021-06-29T11:28:00Z</dcterms:modified>
</cp:coreProperties>
</file>