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shd w:val="clear" w:color="auto" w:fill="ffffff"/>
        <w:spacing w:after="315" w:line="240" w:lineRule="auto"/>
        <w:ind w:right="-31"/>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Перечень нормативных правовых актов или их отдельных частей, содержащих обязательные требования, оценка соблюдения которых является предметом муниципального </w:t>
      </w:r>
      <w:r>
        <w:rPr>
          <w:rFonts w:ascii="Times New Roman" w:hAnsi="Times New Roman" w:eastAsia="Times New Roman" w:cs="Times New Roman"/>
          <w:sz w:val="24"/>
          <w:szCs w:val="24"/>
          <w:lang w:eastAsia="ru-RU"/>
        </w:rPr>
        <w:t xml:space="preserve">контроля за</w:t>
      </w:r>
      <w:r>
        <w:rPr>
          <w:rFonts w:ascii="Times New Roman" w:hAnsi="Times New Roman" w:eastAsia="Times New Roman" w:cs="Times New Roman"/>
          <w:sz w:val="24"/>
          <w:szCs w:val="24"/>
          <w:lang w:eastAsia="ru-RU"/>
        </w:rPr>
        <w:t xml:space="preserve"> сохранностью автомобильных дорог местного значения</w:t>
      </w:r>
    </w:p>
    <w:tbl>
      <w:tblPr>
        <w:tblW w:w="14420" w:type="dxa"/>
        <w:tblInd w:w="392" w:type="dxa"/>
        <w:tblBorders>
          <w:top w:val="single" w:color="EDF1F5" w:sz="6" w:space="0"/>
          <w:left w:val="single" w:color="EDF1F5" w:sz="6" w:space="0"/>
          <w:bottom w:val="single" w:color="EDF1F5" w:sz="6" w:space="0"/>
          <w:right w:val="single" w:color="EDF1F5" w:sz="6" w:space="0"/>
        </w:tblBorders>
        <w:shd w:val="clear" w:color="auto" w:fill="ffffff"/>
        <w:tblCellMar>
          <w:left w:w="0" w:type="dxa"/>
          <w:right w:w="0" w:type="dxa"/>
        </w:tblCellMar>
        <w:tblLook w:val="04A0" w:firstRow="1" w:lastRow="0" w:firstColumn="1" w:lastColumn="0" w:noHBand="0" w:noVBand="1"/>
      </w:tblPr>
      <w:tblGrid>
        <w:gridCol w:w="587"/>
        <w:gridCol w:w="2980"/>
        <w:gridCol w:w="2105"/>
        <w:gridCol w:w="1564"/>
        <w:gridCol w:w="7184"/>
      </w:tblGrid>
      <w:tr>
        <w:trPr>
          <w:trHeight w:val="150"/>
        </w:trPr>
        <w:tc>
          <w:tcPr>
            <w:tcW w:w="587" w:type="dxa"/>
            <w:tcBorders>
              <w:top w:val="single" w:color="auto" w:sz="8" w:space="0"/>
              <w:left w:val="single" w:color="auto" w:sz="8" w:space="0"/>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w:t>
            </w:r>
          </w:p>
          <w:p>
            <w:pPr>
              <w:spacing w:after="315" w:line="150" w:lineRule="atLeast"/>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w:t>
            </w:r>
            <w:r>
              <w:rPr>
                <w:rFonts w:ascii="Times New Roman" w:hAnsi="Times New Roman" w:eastAsia="Times New Roman" w:cs="Times New Roman"/>
                <w:sz w:val="24"/>
                <w:szCs w:val="24"/>
                <w:lang w:eastAsia="ru-RU"/>
              </w:rPr>
              <w:t xml:space="preserve">/п</w:t>
            </w:r>
          </w:p>
        </w:tc>
        <w:tc>
          <w:tcPr>
            <w:tcW w:w="2980" w:type="dxa"/>
            <w:tcBorders>
              <w:top w:val="single" w:color="auto" w:sz="8" w:space="0"/>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Наименование и реквизиты акта</w:t>
            </w:r>
          </w:p>
          <w:p>
            <w:pPr>
              <w:spacing w:after="315" w:line="150" w:lineRule="atLeast"/>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tc>
        <w:tc>
          <w:tcPr>
            <w:tcW w:w="2105" w:type="dxa"/>
            <w:tcBorders>
              <w:top w:val="single" w:color="auto" w:sz="8" w:space="0"/>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150" w:lineRule="atLeast"/>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Краткое описание круга лиц и (или) перечня объектов,</w:t>
            </w:r>
            <w:r>
              <w:rPr>
                <w:rFonts w:ascii="Times New Roman" w:hAnsi="Times New Roman" w:eastAsia="Times New Roman" w:cs="Times New Roman"/>
                <w:sz w:val="24"/>
                <w:szCs w:val="24"/>
                <w:lang w:eastAsia="ru-RU"/>
              </w:rPr>
              <w:br/>
              <w:t xml:space="preserve">в отношении которых устанавливаются обязательные требования</w:t>
            </w:r>
          </w:p>
        </w:tc>
        <w:tc>
          <w:tcPr>
            <w:tcW w:w="1564" w:type="dxa"/>
            <w:tcBorders>
              <w:top w:val="single" w:color="auto" w:sz="8" w:space="0"/>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150" w:lineRule="atLeast"/>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Указание</w:t>
            </w:r>
            <w:r>
              <w:rPr>
                <w:rFonts w:ascii="Times New Roman" w:hAnsi="Times New Roman" w:eastAsia="Times New Roman" w:cs="Times New Roman"/>
                <w:sz w:val="24"/>
                <w:szCs w:val="24"/>
                <w:lang w:eastAsia="ru-RU"/>
              </w:rPr>
              <w:br/>
              <w:t xml:space="preserve">на структурные единицы акта, соблюдение которых оценивается</w:t>
            </w:r>
            <w:r>
              <w:rPr>
                <w:rFonts w:ascii="Times New Roman" w:hAnsi="Times New Roman" w:eastAsia="Times New Roman" w:cs="Times New Roman"/>
                <w:sz w:val="24"/>
                <w:szCs w:val="24"/>
                <w:lang w:eastAsia="ru-RU"/>
              </w:rPr>
              <w:br/>
              <w:t xml:space="preserve">при проведении мероприятий</w:t>
            </w:r>
            <w:r>
              <w:rPr>
                <w:rFonts w:ascii="Times New Roman" w:hAnsi="Times New Roman" w:eastAsia="Times New Roman" w:cs="Times New Roman"/>
                <w:sz w:val="24"/>
                <w:szCs w:val="24"/>
                <w:lang w:eastAsia="ru-RU"/>
              </w:rPr>
              <w:br/>
              <w:t xml:space="preserve">по контролю</w:t>
            </w:r>
          </w:p>
        </w:tc>
        <w:tc>
          <w:tcPr>
            <w:tcW w:w="7184" w:type="dxa"/>
            <w:tcBorders>
              <w:top w:val="single" w:color="auto" w:sz="8" w:space="0"/>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150" w:lineRule="atLeast"/>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Текст акта</w:t>
            </w:r>
          </w:p>
        </w:tc>
      </w:tr>
      <w:tr>
        <w:trPr>
          <w:trHeight w:val="210"/>
        </w:trPr>
        <w:tc>
          <w:tcPr>
            <w:tcW w:w="14420" w:type="dxa"/>
            <w:gridSpan w:val="5"/>
            <w:tcBorders>
              <w:top w:val="none"/>
              <w:left w:val="single" w:color="auto" w:sz="8" w:space="0"/>
              <w:bottom w:val="single" w:color="auto" w:sz="8" w:space="0"/>
              <w:right w:val="single" w:color="auto" w:sz="8" w:space="0"/>
            </w:tcBorders>
            <w:shd w:val="clear" w:color="auto" w:fill="ffffff"/>
            <w:tcMar>
              <w:left w:w="108" w:type="dxa"/>
              <w:top w:w="0" w:type="dxa"/>
              <w:right w:w="108" w:type="dxa"/>
              <w:bottom w:w="0" w:type="dxa"/>
            </w:tcMar>
            <w:hideMark/>
          </w:tcPr>
          <w:p>
            <w:pPr>
              <w:spacing w:after="315" w:line="210" w:lineRule="atLeast"/>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Кодексы</w:t>
            </w:r>
          </w:p>
        </w:tc>
      </w:tr>
      <w:tr>
        <w:trPr>
          <w:trHeight w:val="570"/>
        </w:trPr>
        <w:tc>
          <w:tcPr>
            <w:tcW w:w="587" w:type="dxa"/>
            <w:tcBorders>
              <w:top w:val="none"/>
              <w:left w:val="single" w:color="auto" w:sz="8" w:space="0"/>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2</w:t>
            </w:r>
          </w:p>
        </w:tc>
        <w:tc>
          <w:tcPr>
            <w:tcW w:w="2980" w:type="dxa"/>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i/>
                <w:iCs/>
                <w:sz w:val="24"/>
                <w:szCs w:val="24"/>
                <w:lang w:eastAsia="ru-RU"/>
              </w:rPr>
              <w:t xml:space="preserve">Кодекс</w:t>
            </w:r>
            <w:r>
              <w:rPr>
                <w:rFonts w:ascii="Times New Roman" w:hAnsi="Times New Roman" w:eastAsia="Times New Roman" w:cs="Times New Roman"/>
                <w:sz w:val="24"/>
                <w:szCs w:val="24"/>
                <w:lang w:eastAsia="ru-RU"/>
              </w:rPr>
              <w:t xml:space="preserve"> Российской Федерации об </w:t>
            </w:r>
            <w:r>
              <w:rPr>
                <w:rFonts w:ascii="Times New Roman" w:hAnsi="Times New Roman" w:eastAsia="Times New Roman" w:cs="Times New Roman"/>
                <w:i/>
                <w:iCs/>
                <w:sz w:val="24"/>
                <w:szCs w:val="24"/>
                <w:lang w:eastAsia="ru-RU"/>
              </w:rPr>
              <w:t xml:space="preserve">административных правонарушениях</w:t>
            </w:r>
            <w:r>
              <w:rPr>
                <w:rFonts w:ascii="Times New Roman" w:hAnsi="Times New Roman" w:eastAsia="Times New Roman" w:cs="Times New Roman"/>
                <w:sz w:val="24"/>
                <w:szCs w:val="24"/>
                <w:lang w:eastAsia="ru-RU"/>
              </w:rPr>
              <w:br/>
              <w:t xml:space="preserve">от 30 декабря 2001 г.               № 195-ФЗ</w:t>
            </w:r>
          </w:p>
        </w:tc>
        <w:tc>
          <w:tcPr>
            <w:tcW w:w="2105" w:type="dxa"/>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юридические лица, индивидуальные предприниматели</w:t>
            </w:r>
          </w:p>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tc>
        <w:tc>
          <w:tcPr>
            <w:tcW w:w="1564" w:type="dxa"/>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статья 11.21</w:t>
            </w:r>
          </w:p>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tc>
        <w:tc>
          <w:tcPr>
            <w:tcW w:w="7184" w:type="dxa"/>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Загрязнение полос отвода и придорожных </w:t>
            </w:r>
            <w:r>
              <w:rPr>
                <w:rFonts w:ascii="Times New Roman" w:hAnsi="Times New Roman" w:eastAsia="Times New Roman" w:cs="Times New Roman"/>
                <w:sz w:val="24"/>
                <w:szCs w:val="24"/>
                <w:lang w:eastAsia="ru-RU"/>
              </w:rPr>
              <w:t xml:space="preserve">полос</w:t>
            </w:r>
            <w:r>
              <w:rPr>
                <w:rFonts w:ascii="Times New Roman" w:hAnsi="Times New Roman" w:eastAsia="Times New Roman" w:cs="Times New Roman"/>
                <w:sz w:val="24"/>
                <w:szCs w:val="24"/>
                <w:lang w:eastAsia="ru-RU"/>
              </w:rPr>
              <w:t xml:space="preserve">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w:t>
            </w:r>
          </w:p>
          <w:p>
            <w:pPr>
              <w:spacing w:after="315"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влечет предупреждение или наложение административного штрафа в размере до трехсот рублей.</w:t>
            </w:r>
          </w:p>
          <w:p>
            <w:pPr>
              <w:spacing w:after="315"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w:t>
            </w:r>
            <w:r>
              <w:rPr>
                <w:rFonts w:ascii="Times New Roman" w:hAnsi="Times New Roman" w:eastAsia="Times New Roman" w:cs="Times New Roman"/>
                <w:sz w:val="24"/>
                <w:szCs w:val="24"/>
                <w:lang w:eastAsia="ru-RU"/>
              </w:rPr>
              <w:t xml:space="preserve">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w:t>
            </w:r>
            <w:r>
              <w:rPr>
                <w:rFonts w:ascii="Times New Roman" w:hAnsi="Times New Roman" w:eastAsia="Times New Roman" w:cs="Times New Roman"/>
                <w:sz w:val="24"/>
                <w:szCs w:val="24"/>
                <w:lang w:eastAsia="ru-RU"/>
              </w:rPr>
              <w:t xml:space="preserve">дств с д</w:t>
            </w:r>
            <w:r>
              <w:rPr>
                <w:rFonts w:ascii="Times New Roman" w:hAnsi="Times New Roman" w:eastAsia="Times New Roman" w:cs="Times New Roman"/>
                <w:sz w:val="24"/>
                <w:szCs w:val="24"/>
                <w:lang w:eastAsia="ru-RU"/>
              </w:rPr>
              <w:t xml:space="preserve">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w:t>
            </w:r>
            <w:r>
              <w:rPr>
                <w:rFonts w:ascii="Times New Roman" w:hAnsi="Times New Roman" w:eastAsia="Times New Roman" w:cs="Times New Roman"/>
                <w:sz w:val="24"/>
                <w:szCs w:val="24"/>
                <w:lang w:eastAsia="ru-RU"/>
              </w:rPr>
              <w:t xml:space="preserve">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w:t>
            </w:r>
            <w:r>
              <w:rPr>
                <w:rFonts w:ascii="Times New Roman" w:hAnsi="Times New Roman" w:eastAsia="Times New Roman" w:cs="Times New Roman"/>
                <w:sz w:val="24"/>
                <w:szCs w:val="24"/>
                <w:lang w:eastAsia="ru-RU"/>
              </w:rPr>
              <w:t xml:space="preserve">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w:t>
            </w:r>
            <w:r>
              <w:rPr>
                <w:rFonts w:ascii="Times New Roman" w:hAnsi="Times New Roman" w:eastAsia="Times New Roman" w:cs="Times New Roman"/>
                <w:sz w:val="24"/>
                <w:szCs w:val="24"/>
                <w:lang w:eastAsia="ru-RU"/>
              </w:rPr>
              <w:t xml:space="preserve">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w:t>
            </w:r>
            <w:r>
              <w:rPr>
                <w:rFonts w:ascii="Times New Roman" w:hAnsi="Times New Roman" w:eastAsia="Times New Roman" w:cs="Times New Roman"/>
                <w:sz w:val="24"/>
                <w:szCs w:val="24"/>
                <w:lang w:eastAsia="ru-RU"/>
              </w:rPr>
              <w:t xml:space="preserve"> рекламных конструкций, </w:t>
            </w:r>
            <w:r>
              <w:rPr>
                <w:rFonts w:ascii="Times New Roman" w:hAnsi="Times New Roman" w:eastAsia="Times New Roman" w:cs="Times New Roman"/>
                <w:sz w:val="24"/>
                <w:szCs w:val="24"/>
                <w:lang w:eastAsia="ru-RU"/>
              </w:rPr>
              <w:t xml:space="preserve">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pPr>
              <w:spacing w:after="315"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tc>
      </w:tr>
      <w:tr>
        <w:trPr>
          <w:trHeight w:val="285"/>
        </w:trPr>
        <w:tc>
          <w:tcPr>
            <w:tcW w:w="14420" w:type="dxa"/>
            <w:gridSpan w:val="5"/>
            <w:tcBorders>
              <w:top w:val="none"/>
              <w:left w:val="single" w:color="auto" w:sz="8" w:space="0"/>
              <w:bottom w:val="single" w:color="auto" w:sz="8" w:space="0"/>
              <w:right w:val="single" w:color="auto" w:sz="8" w:space="0"/>
            </w:tcBorders>
            <w:shd w:val="clear" w:color="auto" w:fill="ffffff"/>
            <w:tcMar>
              <w:left w:w="108" w:type="dxa"/>
              <w:top w:w="0" w:type="dxa"/>
              <w:right w:w="108" w:type="dxa"/>
              <w:bottom w:w="0" w:type="dxa"/>
            </w:tcMar>
            <w:hideMark/>
          </w:tcPr>
          <w:p>
            <w:pPr>
              <w:shd w:val="clear" w:color="auto" w:fill="ffffff"/>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Федеральные законы</w:t>
            </w:r>
          </w:p>
        </w:tc>
      </w:tr>
      <w:tr>
        <w:trPr>
          <w:trHeight w:val="570"/>
        </w:trPr>
        <w:tc>
          <w:tcPr>
            <w:tcW w:w="587" w:type="dxa"/>
            <w:vMerge w:val="restart"/>
            <w:tcBorders>
              <w:top w:val="none"/>
              <w:left w:val="single" w:color="auto" w:sz="8" w:space="0"/>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3</w:t>
            </w:r>
          </w:p>
        </w:tc>
        <w:tc>
          <w:tcPr>
            <w:tcW w:w="2980" w:type="dxa"/>
            <w:vMerge w:val="restar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rPr>
                <w:rFonts w:ascii="Times New Roman" w:hAnsi="Times New Roman" w:eastAsia="Times New Roman" w:cs="Times New Roman"/>
                <w:sz w:val="24"/>
                <w:szCs w:val="24"/>
                <w:lang w:eastAsia="ru-RU"/>
              </w:rPr>
            </w:pPr>
            <w:hyperlink r:id="rId6" w:history="1">
              <w:r>
                <w:rPr>
                  <w:rFonts w:ascii="Times New Roman" w:hAnsi="Times New Roman" w:eastAsia="Times New Roman" w:cs="Times New Roman"/>
                  <w:sz w:val="24"/>
                  <w:szCs w:val="24"/>
                  <w:u w:val="single"/>
                  <w:lang w:eastAsia="ru-RU"/>
                </w:rPr>
                <w:t xml:space="preserve">Федеральный закон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p>
        </w:tc>
        <w:tc>
          <w:tcPr>
            <w:tcW w:w="2105" w:type="dxa"/>
            <w:vMerge w:val="restar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юридические лица, индивидуальные предприниматели</w:t>
            </w:r>
          </w:p>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tc>
        <w:tc>
          <w:tcPr>
            <w:tcW w:w="1564" w:type="dxa"/>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часть 1</w:t>
            </w:r>
          </w:p>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статьи 9</w:t>
            </w:r>
          </w:p>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tc>
        <w:tc>
          <w:tcPr>
            <w:tcW w:w="7184" w:type="dxa"/>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Предметом плановой проверки является соблюдение юридическим лицом, индивидуальным предпринимателем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tc>
      </w:tr>
      <w:tr>
        <w:trPr>
          <w:trHeight w:val="870"/>
        </w:trPr>
        <w:tc>
          <w:tcPr>
            <w:tcW w:w="0" w:type="auto"/>
            <w:vMerge w:val="continue"/>
            <w:tcBorders>
              <w:top w:val="none"/>
              <w:left w:val="single" w:color="auto" w:sz="8" w:space="0"/>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0" w:type="auto"/>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0" w:type="auto"/>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1564" w:type="dxa"/>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часть 1 статьи 10</w:t>
            </w:r>
          </w:p>
        </w:tc>
        <w:tc>
          <w:tcPr>
            <w:tcW w:w="7184" w:type="dxa"/>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государственного контроля (надзора),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w:t>
            </w:r>
            <w:r>
              <w:rPr>
                <w:rFonts w:ascii="Times New Roman" w:hAnsi="Times New Roman" w:eastAsia="Times New Roman" w:cs="Times New Roman"/>
                <w:sz w:val="24"/>
                <w:szCs w:val="24"/>
                <w:lang w:eastAsia="ru-RU"/>
              </w:rPr>
              <w:t xml:space="preserve">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w:t>
            </w:r>
            <w:r>
              <w:rPr>
                <w:rFonts w:ascii="Times New Roman" w:hAnsi="Times New Roman" w:eastAsia="Times New Roman" w:cs="Times New Roman"/>
                <w:sz w:val="24"/>
                <w:szCs w:val="24"/>
                <w:lang w:eastAsia="ru-RU"/>
              </w:rPr>
              <w:t xml:space="preserve">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tc>
      </w:tr>
      <w:tr>
        <w:trPr>
          <w:trHeight w:val="870"/>
        </w:trPr>
        <w:tc>
          <w:tcPr>
            <w:tcW w:w="0" w:type="auto"/>
            <w:vMerge w:val="continue"/>
            <w:tcBorders>
              <w:top w:val="none"/>
              <w:left w:val="single" w:color="auto" w:sz="8" w:space="0"/>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0" w:type="auto"/>
            <w:vMerge w:val="continue"/>
            <w:tcBorders>
              <w:top w:val="none"/>
              <w:left w:val="none"/>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0" w:type="auto"/>
            <w:vMerge w:val="continue"/>
            <w:tcBorders>
              <w:top w:val="none"/>
              <w:left w:val="none"/>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1564" w:type="dxa"/>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часть 1 статьи 11</w:t>
            </w:r>
          </w:p>
        </w:tc>
        <w:tc>
          <w:tcPr>
            <w:tcW w:w="7184" w:type="dxa"/>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государственного контроля (надзора), органов муниципального контроля.</w:t>
            </w:r>
          </w:p>
        </w:tc>
      </w:tr>
      <w:tr>
        <w:trPr>
          <w:trHeight w:val="270"/>
        </w:trPr>
        <w:tc>
          <w:tcPr>
            <w:tcW w:w="0" w:type="auto"/>
            <w:vMerge w:val="continue"/>
            <w:tcBorders>
              <w:top w:val="none"/>
              <w:left w:val="single" w:color="auto" w:sz="8" w:space="0"/>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0" w:type="auto"/>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0" w:type="auto"/>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1564" w:type="dxa"/>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часть 1 статьи 12</w:t>
            </w:r>
          </w:p>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tc>
        <w:tc>
          <w:tcPr>
            <w:tcW w:w="7184" w:type="dxa"/>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Предметом выездной проверки являются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
        </w:tc>
      </w:tr>
      <w:tr>
        <w:trPr>
          <w:trHeight w:val="270"/>
        </w:trPr>
        <w:tc>
          <w:tcPr>
            <w:tcW w:w="587" w:type="dxa"/>
            <w:vMerge w:val="restart"/>
            <w:tcBorders>
              <w:top w:val="none"/>
              <w:left w:val="single" w:color="auto" w:sz="8" w:space="0"/>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4</w:t>
            </w:r>
          </w:p>
        </w:tc>
        <w:tc>
          <w:tcPr>
            <w:tcW w:w="2980" w:type="dxa"/>
            <w:vMerge w:val="restar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i/>
                <w:iCs/>
                <w:sz w:val="24"/>
                <w:szCs w:val="24"/>
                <w:lang w:eastAsia="ru-RU"/>
              </w:rPr>
              <w:t xml:space="preserve">Федеральный закон </w:t>
            </w:r>
            <w:r>
              <w:rPr>
                <w:rFonts w:ascii="Times New Roman" w:hAnsi="Times New Roman" w:eastAsia="Times New Roman" w:cs="Times New Roman"/>
                <w:sz w:val="24"/>
                <w:szCs w:val="24"/>
                <w:lang w:eastAsia="ru-RU"/>
              </w:rPr>
              <w:t xml:space="preserve">от </w:t>
            </w:r>
            <w:r>
              <w:rPr>
                <w:rFonts w:ascii="Times New Roman" w:hAnsi="Times New Roman" w:eastAsia="Times New Roman" w:cs="Times New Roman"/>
                <w:i/>
                <w:iCs/>
                <w:sz w:val="24"/>
                <w:szCs w:val="24"/>
                <w:lang w:eastAsia="ru-RU"/>
              </w:rPr>
              <w:t xml:space="preserve">8 ноября 2007</w:t>
            </w:r>
            <w:r>
              <w:rPr>
                <w:rFonts w:ascii="Times New Roman" w:hAnsi="Times New Roman" w:eastAsia="Times New Roman" w:cs="Times New Roman"/>
                <w:sz w:val="24"/>
                <w:szCs w:val="24"/>
                <w:lang w:eastAsia="ru-RU"/>
              </w:rPr>
              <w:t xml:space="preserve"> г. № </w:t>
            </w:r>
            <w:r>
              <w:rPr>
                <w:rFonts w:ascii="Times New Roman" w:hAnsi="Times New Roman" w:eastAsia="Times New Roman" w:cs="Times New Roman"/>
                <w:i/>
                <w:iCs/>
                <w:sz w:val="24"/>
                <w:szCs w:val="24"/>
                <w:lang w:eastAsia="ru-RU"/>
              </w:rPr>
              <w:t xml:space="preserve">257-ФЗ </w:t>
            </w:r>
            <w:r>
              <w:rPr>
                <w:rFonts w:ascii="Times New Roman" w:hAnsi="Times New Roman" w:eastAsia="Times New Roman" w:cs="Times New Roman"/>
                <w:sz w:val="24"/>
                <w:szCs w:val="24"/>
                <w:lang w:eastAsia="ru-RU"/>
              </w:rPr>
              <w:t xml:space="preserve">"Об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pPr>
              <w:spacing w:after="315"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tc>
        <w:tc>
          <w:tcPr>
            <w:tcW w:w="2105" w:type="dxa"/>
            <w:vMerge w:val="restart"/>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юридические лица, индивидуальные предприниматели, граждане</w:t>
            </w:r>
          </w:p>
          <w:p>
            <w:pPr>
              <w:spacing w:after="315"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tc>
        <w:tc>
          <w:tcPr>
            <w:tcW w:w="1564" w:type="dxa"/>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пункты 8, 9, 10, 11, 12</w:t>
            </w:r>
          </w:p>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статьи 3</w:t>
            </w:r>
          </w:p>
        </w:tc>
        <w:tc>
          <w:tcPr>
            <w:tcW w:w="7184" w:type="dxa"/>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8) пользователи автомобильными дорогами - физические и юридические лица, использующие автомобильные дороги в качестве участников дорожного движения;</w:t>
            </w:r>
          </w:p>
          <w:p>
            <w:pPr>
              <w:spacing w:after="315"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9) реконструкция автомобильной дороги - комплекс работ, при выполнении которых осуществляется изменение параметров автомобильной дороги, ее участков, ведущее к изменению класса и (или) категории автомобильной дороги либо влекущее за собой изменение границы полосы отвода автомобильной дороги;</w:t>
            </w:r>
          </w:p>
          <w:p>
            <w:pPr>
              <w:spacing w:after="315"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10) капитальный ремонт автомобильной дороги - комплекс работ </w:t>
            </w:r>
            <w:r>
              <w:rPr>
                <w:rFonts w:ascii="Times New Roman" w:hAnsi="Times New Roman" w:eastAsia="Times New Roman" w:cs="Times New Roman"/>
                <w:sz w:val="24"/>
                <w:szCs w:val="24"/>
                <w:lang w:eastAsia="ru-RU"/>
              </w:rPr>
              <w:t xml:space="preserve">по замене и (или) восстановлению конструктивных элементов автомобильной дороги, дорожных сооружений и (или) их частей,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w:t>
            </w:r>
          </w:p>
          <w:p>
            <w:pPr>
              <w:spacing w:after="315"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11) ремонт автомобильной дороги - комплекс работ по восстановлению транспортно-эксплуатационных характеристик автомобильной дороги, при выполнении которых не затрагиваются конструктивные и иные характеристики надежности и безопасности автомобильной дороги;</w:t>
            </w:r>
          </w:p>
          <w:p>
            <w:pPr>
              <w:spacing w:after="315"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12) содержание автомобильной дороги - комплекс работ по поддержанию надлежащего технического состояния автомобильной дороги, оценке ее технического состояния, а также по организации и обеспечению безопасности дорожного движения.</w:t>
            </w:r>
          </w:p>
        </w:tc>
      </w:tr>
      <w:tr>
        <w:trPr>
          <w:trHeight w:val="270"/>
        </w:trPr>
        <w:tc>
          <w:tcPr>
            <w:tcW w:w="0" w:type="auto"/>
            <w:vMerge w:val="continue"/>
            <w:tcBorders>
              <w:top w:val="none"/>
              <w:left w:val="single" w:color="auto" w:sz="8" w:space="0"/>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0" w:type="auto"/>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0" w:type="auto"/>
            <w:vMerge w:val="continue"/>
            <w:tcBorders>
              <w:top w:val="none"/>
              <w:left w:val="none"/>
              <w:bottom w:val="single" w:color="auto" w:sz="8" w:space="0"/>
              <w:right w:val="single" w:color="auto" w:sz="8" w:space="0"/>
            </w:tcBorders>
            <w:shd w:val="clear" w:color="auto" w:fill="ffffff"/>
            <w:vAlign w:val="center"/>
            <w:hideMark/>
          </w:tcPr>
          <w:p>
            <w:pPr>
              <w:spacing w:after="0" w:line="240" w:lineRule="auto"/>
              <w:rPr>
                <w:rFonts w:ascii="Times New Roman" w:hAnsi="Times New Roman" w:eastAsia="Times New Roman" w:cs="Times New Roman"/>
                <w:sz w:val="24"/>
                <w:szCs w:val="24"/>
                <w:lang w:eastAsia="ru-RU"/>
              </w:rPr>
            </w:pPr>
          </w:p>
        </w:tc>
        <w:tc>
          <w:tcPr>
            <w:tcW w:w="1564" w:type="dxa"/>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статья 22</w:t>
            </w:r>
          </w:p>
        </w:tc>
        <w:tc>
          <w:tcPr>
            <w:tcW w:w="7184" w:type="dxa"/>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Размещение объектов дорожного сервиса в границах полосы отвода автомобильной дороги должно осуществляться в соответствии с документацией по планировке территории и требованиями технических регламентов. Размещение объектов дорожного сервиса в границах придорожных полос автомобильной дороги должно осуществляться с учетом требований </w:t>
            </w:r>
            <w:hyperlink r:id="rId7" w:anchor="/document/12157004/entry/2608" w:history="1">
              <w:r>
                <w:rPr>
                  <w:rFonts w:ascii="Times New Roman" w:hAnsi="Times New Roman" w:eastAsia="Times New Roman" w:cs="Times New Roman"/>
                  <w:sz w:val="24"/>
                  <w:szCs w:val="24"/>
                  <w:u w:val="single"/>
                  <w:lang w:eastAsia="ru-RU"/>
                </w:rPr>
                <w:t xml:space="preserve">части 8 статьи 26</w:t>
              </w:r>
            </w:hyperlink>
            <w:r>
              <w:rPr>
                <w:rFonts w:ascii="Times New Roman" w:hAnsi="Times New Roman" w:eastAsia="Times New Roman" w:cs="Times New Roman"/>
                <w:sz w:val="24"/>
                <w:szCs w:val="24"/>
                <w:lang w:eastAsia="ru-RU"/>
              </w:rPr>
              <w:t xml:space="preserve"> Федерального закона от 08.11.2007 № 257-ФЗ.</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Минимально необходимые для обслуживания участников дорожного движения </w:t>
            </w:r>
            <w:hyperlink r:id="rId8" w:anchor="/document/196527/entry/1000" w:history="1">
              <w:r>
                <w:rPr>
                  <w:rFonts w:ascii="Times New Roman" w:hAnsi="Times New Roman" w:eastAsia="Times New Roman" w:cs="Times New Roman"/>
                  <w:sz w:val="24"/>
                  <w:szCs w:val="24"/>
                  <w:u w:val="single"/>
                  <w:lang w:eastAsia="ru-RU"/>
                </w:rPr>
                <w:t xml:space="preserve">требования</w:t>
              </w:r>
            </w:hyperlink>
            <w:r>
              <w:rPr>
                <w:rFonts w:ascii="Times New Roman" w:hAnsi="Times New Roman" w:eastAsia="Times New Roman" w:cs="Times New Roman"/>
                <w:sz w:val="24"/>
                <w:szCs w:val="24"/>
                <w:lang w:eastAsia="ru-RU"/>
              </w:rPr>
              <w:t xml:space="preserve"> к обеспеченности автомобильных дорог общего пользования федерального, регионального или межмуниципального, местного значения объектами дорожного сервиса, размещаемыми в границах полос отвода автомобильных дорог (с указанием количества и вида объектов дорожного сервиса), а также </w:t>
            </w:r>
            <w:hyperlink r:id="rId9" w:anchor="/document/196527/entry/2000" w:history="1">
              <w:r>
                <w:rPr>
                  <w:rFonts w:ascii="Times New Roman" w:hAnsi="Times New Roman" w:eastAsia="Times New Roman" w:cs="Times New Roman"/>
                  <w:sz w:val="24"/>
                  <w:szCs w:val="24"/>
                  <w:u w:val="single"/>
                  <w:lang w:eastAsia="ru-RU"/>
                </w:rPr>
                <w:t xml:space="preserve">требования</w:t>
              </w:r>
            </w:hyperlink>
            <w:r>
              <w:rPr>
                <w:rFonts w:ascii="Times New Roman" w:hAnsi="Times New Roman" w:eastAsia="Times New Roman" w:cs="Times New Roman"/>
                <w:sz w:val="24"/>
                <w:szCs w:val="24"/>
                <w:lang w:eastAsia="ru-RU"/>
              </w:rPr>
              <w:t xml:space="preserve"> к перечню минимально необходимых услуг, оказываемых на таких объектах дорожного сервиса, </w:t>
            </w:r>
            <w:r>
              <w:rPr>
                <w:rFonts w:ascii="Times New Roman" w:hAnsi="Times New Roman" w:eastAsia="Times New Roman" w:cs="Times New Roman"/>
                <w:sz w:val="24"/>
                <w:szCs w:val="24"/>
                <w:lang w:eastAsia="ru-RU"/>
              </w:rPr>
              <w:t xml:space="preserve">устанавливаются Правительством Российской Федерации.</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Обеспечение автомобильной дороги объектами дорожного сервиса не должно ухудшать видимость на автомобильной дороге, другие условия безопасности дорожного движения, а также условия использования и содержания автомобильной дороги и расположенных на ней сооружений и иных объектов.</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В случаях строительства, реконструкции объектов дорожного сервиса, размещаемых в границах полосы отвода автомобильной дороги федерального, регионального или межмуниципального либо местного значения, разрешение на строительство </w:t>
            </w:r>
            <w:hyperlink r:id="rId10" w:anchor="/document/70215052/entry/173" w:history="1">
              <w:r>
                <w:rPr>
                  <w:rFonts w:ascii="Times New Roman" w:hAnsi="Times New Roman" w:eastAsia="Times New Roman" w:cs="Times New Roman"/>
                  <w:sz w:val="24"/>
                  <w:szCs w:val="24"/>
                  <w:u w:val="single"/>
                  <w:lang w:eastAsia="ru-RU"/>
                </w:rPr>
                <w:t xml:space="preserve">выдается</w:t>
              </w:r>
            </w:hyperlink>
            <w:r>
              <w:rPr>
                <w:rFonts w:ascii="Times New Roman" w:hAnsi="Times New Roman" w:eastAsia="Times New Roman" w:cs="Times New Roman"/>
                <w:sz w:val="24"/>
                <w:szCs w:val="24"/>
                <w:lang w:eastAsia="ru-RU"/>
              </w:rPr>
              <w:t xml:space="preserve"> в порядке, установленном </w:t>
            </w:r>
            <w:hyperlink r:id="rId11" w:anchor="/document/12138258/entry/510" w:history="1">
              <w:r>
                <w:rPr>
                  <w:rFonts w:ascii="Times New Roman" w:hAnsi="Times New Roman" w:eastAsia="Times New Roman" w:cs="Times New Roman"/>
                  <w:sz w:val="24"/>
                  <w:szCs w:val="24"/>
                  <w:u w:val="single"/>
                  <w:lang w:eastAsia="ru-RU"/>
                </w:rPr>
                <w:t xml:space="preserve">Градостроительным кодексом</w:t>
              </w:r>
            </w:hyperlink>
            <w:r>
              <w:rPr>
                <w:rFonts w:ascii="Times New Roman" w:hAnsi="Times New Roman" w:eastAsia="Times New Roman" w:cs="Times New Roman"/>
                <w:sz w:val="24"/>
                <w:szCs w:val="24"/>
                <w:lang w:eastAsia="ru-RU"/>
              </w:rPr>
              <w:t xml:space="preserve"> Российской Федерации, соответственно федеральным органом исполнительной власти или подведомственным ему федеральным государственным учреждением, органом исполнительной власти субъекта Российской Федерации или подведомственным ему государственным учреждением, органом местного самоуправления, уполномоченными на выдачу</w:t>
            </w:r>
            <w:r>
              <w:rPr>
                <w:rFonts w:ascii="Times New Roman" w:hAnsi="Times New Roman" w:eastAsia="Times New Roman" w:cs="Times New Roman"/>
                <w:sz w:val="24"/>
                <w:szCs w:val="24"/>
                <w:lang w:eastAsia="ru-RU"/>
              </w:rPr>
              <w:t xml:space="preserve"> разрешения на строительство автомобильной дороги, в границах полосы отвода которой планируется осуществить строительство, реконструкцию таких объектов. </w:t>
            </w:r>
            <w:r>
              <w:rPr>
                <w:rFonts w:ascii="Times New Roman" w:hAnsi="Times New Roman" w:eastAsia="Times New Roman" w:cs="Times New Roman"/>
                <w:sz w:val="24"/>
                <w:szCs w:val="24"/>
                <w:lang w:eastAsia="ru-RU"/>
              </w:rPr>
              <w:t xml:space="preserve">В случае строительства, реконструкции объектов дорожного сервиса, размещаемых в границах полосы отвода частной автомобильной дороги, разрешение на строительство выдается в порядке, установленном </w:t>
            </w:r>
            <w:hyperlink r:id="rId12" w:anchor="/document/12138258/entry/510" w:history="1">
              <w:r>
                <w:rPr>
                  <w:rFonts w:ascii="Times New Roman" w:hAnsi="Times New Roman" w:eastAsia="Times New Roman" w:cs="Times New Roman"/>
                  <w:sz w:val="24"/>
                  <w:szCs w:val="24"/>
                  <w:u w:val="single"/>
                  <w:lang w:eastAsia="ru-RU"/>
                </w:rPr>
                <w:t xml:space="preserve">Градостроительным кодексом</w:t>
              </w:r>
            </w:hyperlink>
            <w:r>
              <w:rPr>
                <w:rFonts w:ascii="Times New Roman" w:hAnsi="Times New Roman" w:eastAsia="Times New Roman" w:cs="Times New Roman"/>
                <w:sz w:val="24"/>
                <w:szCs w:val="24"/>
                <w:lang w:eastAsia="ru-RU"/>
              </w:rPr>
              <w:t xml:space="preserve"> Российской Федерации, органом местного самоуправления поселения или городского округа, на территориях которых планируется осуществить строительство, реконструкцию таких объектов, либо, если строительство, реконструкцию таких объектов планируется осуществить на межселенной территории, органом местного самоуправления муниципального района.</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В случаях строительства, реконструкции объектов дорожного сервиса в границах придорожных полос автомобильной дороги разрешение на строительство выдается в порядке, установленном </w:t>
            </w:r>
            <w:hyperlink r:id="rId13" w:anchor="/document/12138258/entry/510" w:history="1">
              <w:r>
                <w:rPr>
                  <w:rFonts w:ascii="Times New Roman" w:hAnsi="Times New Roman" w:eastAsia="Times New Roman" w:cs="Times New Roman"/>
                  <w:sz w:val="24"/>
                  <w:szCs w:val="24"/>
                  <w:u w:val="single"/>
                  <w:lang w:eastAsia="ru-RU"/>
                </w:rPr>
                <w:t xml:space="preserve">Градостроительным кодексом</w:t>
              </w:r>
            </w:hyperlink>
            <w:r>
              <w:rPr>
                <w:rFonts w:ascii="Times New Roman" w:hAnsi="Times New Roman" w:eastAsia="Times New Roman" w:cs="Times New Roman"/>
                <w:sz w:val="24"/>
                <w:szCs w:val="24"/>
                <w:lang w:eastAsia="ru-RU"/>
              </w:rPr>
              <w:t xml:space="preserve"> Российской Федерации:</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1) органом местного самоуправления городского поселения, </w:t>
            </w:r>
            <w:r>
              <w:rPr>
                <w:rFonts w:ascii="Times New Roman" w:hAnsi="Times New Roman" w:eastAsia="Times New Roman" w:cs="Times New Roman"/>
                <w:sz w:val="24"/>
                <w:szCs w:val="24"/>
                <w:lang w:eastAsia="ru-RU"/>
              </w:rPr>
              <w:t xml:space="preserve">если строительство, реконструкцию таких объектов планируется осуществлять в границах городского поселения;</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2) органом местного самоуправления муниципального района, если строительство, реконструкцию таких объектов планируется осуществлять на межселенных территориях, а также в границах сельских поселений (за исключением случая, установленного </w:t>
            </w:r>
            <w:hyperlink r:id="rId14" w:anchor="/document/12157004/entry/220521" w:history="1">
              <w:r>
                <w:rPr>
                  <w:rFonts w:ascii="Times New Roman" w:hAnsi="Times New Roman" w:eastAsia="Times New Roman" w:cs="Times New Roman"/>
                  <w:sz w:val="24"/>
                  <w:szCs w:val="24"/>
                  <w:u w:val="single"/>
                  <w:lang w:eastAsia="ru-RU"/>
                </w:rPr>
                <w:t xml:space="preserve">пунктом 2.1</w:t>
              </w:r>
            </w:hyperlink>
            <w:r>
              <w:rPr>
                <w:rFonts w:ascii="Times New Roman" w:hAnsi="Times New Roman" w:eastAsia="Times New Roman" w:cs="Times New Roman"/>
                <w:sz w:val="24"/>
                <w:szCs w:val="24"/>
                <w:lang w:eastAsia="ru-RU"/>
              </w:rPr>
              <w:t xml:space="preserve"> настоящей части);</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2.1) органом местного самоуправления сельского поселения, если строительство, реконструкцию таких объектов планируется осуществлять в границах сельского поселения (в случае закрепления законом субъекта Российской Федерации за сельскими поселениями вопроса осуществления дорожной деятельности в отношении автомобильных дорог местного значения в границах населенных пунктов сельских поселений);</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3) органом местного самоуправления городского округа, если строительство, реконструкцию таких объектов планируется осуществлять в границах городского округа.</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Объекты дорожного сервиса должны быть оборудованы стоянками и местами остановки транспортных средств, а также подъездами, съездами и примыканиями в целях обеспечения доступа к ним с автомобильной дороги. При примыкании автомобильной дороги к другой автомобильной дороге подъезды и съезды должны быть оборудованы переходно-скоростными полосами и обустроены элементами обустройства автомобильной дороги в целях обеспечения безопасности дорожного движения.</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За оказание услуг присоединения объектов дорожного сервиса к автомобильным дорогам взимается плата на основании заключаемого с владельцами автомобильных дорог договора о присоединении объекта дорожного сервиса к автомобильной дороге.</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При заключении договора о присоединении объекта дорожного сервиса к автомобильной дороге владелец автомобильной дороги обязан информировать лиц, с которыми заключается такой договор, о планируемых реконструкции, капитальном ремонте автомобильной дороги и о сроках </w:t>
            </w:r>
            <w:r>
              <w:rPr>
                <w:rFonts w:ascii="Times New Roman" w:hAnsi="Times New Roman" w:eastAsia="Times New Roman" w:cs="Times New Roman"/>
                <w:sz w:val="24"/>
                <w:szCs w:val="24"/>
                <w:lang w:eastAsia="ru-RU"/>
              </w:rPr>
              <w:t xml:space="preserve">осуществления ее реконструкции, капитального ремонта.</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Плата за присоединение объектов дорожного сервиса к автомобильным дорогам общего пользования федерального, регионального или межмуниципального, местного значения рассчитывается исходя из установленных соответственно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органом местного самоуправления </w:t>
            </w:r>
            <w:hyperlink r:id="rId15" w:anchor="/document/71635710/entry/1000" w:history="1">
              <w:r>
                <w:rPr>
                  <w:rFonts w:ascii="Times New Roman" w:hAnsi="Times New Roman" w:eastAsia="Times New Roman" w:cs="Times New Roman"/>
                  <w:sz w:val="24"/>
                  <w:szCs w:val="24"/>
                  <w:u w:val="single"/>
                  <w:lang w:eastAsia="ru-RU"/>
                </w:rPr>
                <w:t xml:space="preserve">стоимости</w:t>
              </w:r>
            </w:hyperlink>
            <w:r>
              <w:rPr>
                <w:rFonts w:ascii="Times New Roman" w:hAnsi="Times New Roman" w:eastAsia="Times New Roman" w:cs="Times New Roman"/>
                <w:sz w:val="24"/>
                <w:szCs w:val="24"/>
                <w:lang w:eastAsia="ru-RU"/>
              </w:rPr>
              <w:t xml:space="preserve"> и объема услуг, оказываемых по договору о присоединении соответствующего объекта дорожного сервиса к соответствующей автомобильной дороге.</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Строительство, реконструкция, капитальный ремонт, ремонт и содержание подъездов, съездов и примыканий, стоянок и мест остановки транспортных средств, переходно-скоростных полос осуществляются владельцем объекта дорожного сервиса или за его счет. Капитальный ремонт, ремонт и содержание подъездов, съездов и примыканий, стоянок и мест остановки транспортных средств, переходно-скоростных полос осуществляются в соответствии с классификацией работ по капитальному ремонту, ремонту и содержанию автомобильных дорог,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Реконструкция, капитальный ремонт и ремонт примыканий объектов дорожного сервиса к автомобильным дорогам допускаются при наличии согласия в письменной форме владельцев автомобильных дорог на выполнение указанных работ. Это согласие должно содержать технические требования и условия, подлежащие обязательному исполнению лицами, осуществляющими реконструкцию, капитальный ремонт и ремонт примыканий объектов дорожного сервиса к автомобильным дорогам (далее в настоящей статье - технические требования и условия, подлежащие обязательному исполнению). </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Лица, осуществляющие строительство, реконструкцию, </w:t>
            </w:r>
            <w:r>
              <w:rPr>
                <w:rFonts w:ascii="Times New Roman" w:hAnsi="Times New Roman" w:eastAsia="Times New Roman" w:cs="Times New Roman"/>
                <w:sz w:val="24"/>
                <w:szCs w:val="24"/>
                <w:lang w:eastAsia="ru-RU"/>
              </w:rPr>
              <w:t xml:space="preserve">капитальный ремонт объектов дорожного сервиса или реконструкцию, капитальный ремонт и ремонт примыканий объектов дорожного сервиса к автомобильным дорогам без разрешения на строительство, без предусмотренного </w:t>
            </w:r>
            <w:hyperlink r:id="rId16" w:anchor="/document/12157004/entry/22011" w:history="1">
              <w:r>
                <w:rPr>
                  <w:rFonts w:ascii="Times New Roman" w:hAnsi="Times New Roman" w:eastAsia="Times New Roman" w:cs="Times New Roman"/>
                  <w:sz w:val="24"/>
                  <w:szCs w:val="24"/>
                  <w:u w:val="single"/>
                  <w:lang w:eastAsia="ru-RU"/>
                </w:rPr>
                <w:t xml:space="preserve">частью 11</w:t>
              </w:r>
            </w:hyperlink>
            <w:r>
              <w:rPr>
                <w:rFonts w:ascii="Times New Roman" w:hAnsi="Times New Roman" w:eastAsia="Times New Roman" w:cs="Times New Roman"/>
                <w:sz w:val="24"/>
                <w:szCs w:val="24"/>
                <w:lang w:eastAsia="ru-RU"/>
              </w:rPr>
              <w:t xml:space="preserve"> настоящей статьи согласия или с нарушением технических требований и условий, подлежащих обязательному исполнению, по требованию органа, уполномоченного на осуществление государственного строительного надзора, и (или) владельцев автомобильных дорог обязаны прекратить осуществление</w:t>
            </w:r>
            <w:r>
              <w:rPr>
                <w:rFonts w:ascii="Times New Roman" w:hAnsi="Times New Roman" w:eastAsia="Times New Roman" w:cs="Times New Roman"/>
                <w:sz w:val="24"/>
                <w:szCs w:val="24"/>
                <w:lang w:eastAsia="ru-RU"/>
              </w:rPr>
              <w:t xml:space="preserve"> строительства, реконструкции, капитального ремонта объектов дорожного сервиса или реконструкции, капитального ремонта и ремонта примыканий объектов дорожного сервиса к автомобильным дорогам, осуществить снос незаконно возведенных сооружений, иных объектов и привести автомобильные дороги в первоначальное состояние. В случае отказа от исполнения указанных требований владельцы автомобильных дорог выполняют работы по ликвидации возведенных объектов дорожного сервиса или примыканий с последующей компенсацией затрат на выполнение этих работ за счет лиц, виновных в незаконном возведении таких объектов, сооружений, в соответствии с законодательством Российской Федерации.</w:t>
            </w:r>
          </w:p>
        </w:tc>
      </w:tr>
      <w:tr>
        <w:trPr>
          <w:trHeight w:val="270"/>
        </w:trPr>
        <w:tc>
          <w:tcPr>
            <w:tcW w:w="0" w:type="auto"/>
            <w:vMerge w:val="continue"/>
            <w:tcBorders>
              <w:top w:val="none"/>
              <w:left w:val="single" w:color="auto" w:sz="8" w:space="0"/>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bookmarkStart w:colFirst="4" w:colLast="4" w:id="0" w:name="_GoBack"/>
          </w:p>
        </w:tc>
        <w:tc>
          <w:tcPr>
            <w:tcW w:w="0" w:type="auto"/>
            <w:vMerge w:val="continue"/>
            <w:tcBorders>
              <w:top w:val="none"/>
              <w:left w:val="none"/>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0" w:type="auto"/>
            <w:vMerge w:val="continue"/>
            <w:tcBorders>
              <w:top w:val="none"/>
              <w:left w:val="none"/>
              <w:bottom w:val="single" w:color="auto" w:sz="8" w:space="0"/>
              <w:right w:val="single" w:color="auto" w:sz="8" w:space="0"/>
            </w:tcBorders>
            <w:shd w:val="clear" w:color="auto" w:fill="f7f8fa"/>
            <w:vAlign w:val="center"/>
            <w:hideMark/>
          </w:tcPr>
          <w:p>
            <w:pPr>
              <w:spacing w:after="0" w:line="240" w:lineRule="auto"/>
              <w:rPr>
                <w:rFonts w:ascii="Times New Roman" w:hAnsi="Times New Roman" w:eastAsia="Times New Roman" w:cs="Times New Roman"/>
                <w:sz w:val="24"/>
                <w:szCs w:val="24"/>
                <w:lang w:eastAsia="ru-RU"/>
              </w:rPr>
            </w:pPr>
          </w:p>
        </w:tc>
        <w:tc>
          <w:tcPr>
            <w:tcW w:w="1564" w:type="dxa"/>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статья 29</w:t>
            </w:r>
          </w:p>
        </w:tc>
        <w:tc>
          <w:tcPr>
            <w:tcW w:w="7184" w:type="dxa"/>
            <w:tcBorders>
              <w:top w:val="none"/>
              <w:left w:val="none"/>
              <w:bottom w:val="single" w:color="auto" w:sz="8" w:space="0"/>
              <w:right w:val="single" w:color="auto" w:sz="8" w:space="0"/>
            </w:tcBorders>
            <w:shd w:val="clear" w:color="auto" w:fill="f7f8fa"/>
            <w:tcMar>
              <w:left w:w="108" w:type="dxa"/>
              <w:top w:w="0" w:type="dxa"/>
              <w:right w:w="108" w:type="dxa"/>
              <w:bottom w:w="0" w:type="dxa"/>
            </w:tcMar>
            <w:hideMark/>
          </w:tcPr>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Пользователям автомобильными дорогами запрещается:</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1) осуществлять движение по автомобильным дорогам на транспортных средствах, имеющих элементы конструкций, которые могут нанести повреждение автомобильным дорогам;</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2) осуществлять движение по автомобильным дорогам на тяжеловесных транспортных средствах, масса которых с грузом или без груза и (или) нагрузка на ось которых более чем на два процента превышают допустимую массу транспортного средства и (или) допустимую нагрузку на ось, и (или) на крупногабаритных транспортных средствах и на транспортных средствах, осуществляющих перевозки опасных грузов без специальных разрешений, выдаваемых в порядке, установленном</w:t>
            </w:r>
            <w:r>
              <w:rPr>
                <w:rFonts w:ascii="Times New Roman" w:hAnsi="Times New Roman" w:eastAsia="Times New Roman" w:cs="Times New Roman"/>
                <w:sz w:val="24"/>
                <w:szCs w:val="24"/>
                <w:lang w:eastAsia="ru-RU"/>
              </w:rPr>
              <w:t xml:space="preserve"> Федеральным законом от 08.11.2007 № 257-ФЗ, а также осуществлять движение </w:t>
            </w:r>
            <w:r>
              <w:rPr>
                <w:rFonts w:ascii="Times New Roman" w:hAnsi="Times New Roman" w:eastAsia="Times New Roman" w:cs="Times New Roman"/>
                <w:sz w:val="24"/>
                <w:szCs w:val="24"/>
                <w:lang w:eastAsia="ru-RU"/>
              </w:rPr>
              <w:t xml:space="preserve">транспортных средств, имеющих разрешенную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такими транспортными средствами;</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3) осуществлять движение по автомобильным дорогам на тяжеловесных транспортных средствах, осуществляющих перевозки грузов, не являющихся  неделимыми;</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4) осуществлять движение по автомобильным дорогам на крупногабаритных транспортных средствах, осуществляющих перевозки грузов, не являющихся неделимыми, за исключением осуществляющих движение на основании специальных разрешений крупногабаритных транспортных средств, габариты которых превышают допустимые габариты не более чем на два процента.</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Пользователям автомобильными дорогами и иным осуществляющим использование автомобильных дорог лицам запрещается:</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1) загрязнять дорожное покрытие, полосы отвода и придорожные полосы автомобильных дорог;</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2) использовать водоотводные сооружения автомобильных дорог для стока или сброса вод;</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3) выполнять в границах полос отвода автомобильных дорог, в том числе на проезжей части автомобильных дорог, работы, связанные с применением горючих веществ, а также веществ, которые могут оказать воздействие на уменьшение сцепления колес транспортных сре</w:t>
            </w:r>
            <w:r>
              <w:rPr>
                <w:rFonts w:ascii="Times New Roman" w:hAnsi="Times New Roman" w:eastAsia="Times New Roman" w:cs="Times New Roman"/>
                <w:sz w:val="24"/>
                <w:szCs w:val="24"/>
                <w:lang w:eastAsia="ru-RU"/>
              </w:rPr>
              <w:t xml:space="preserve">дств с д</w:t>
            </w:r>
            <w:r>
              <w:rPr>
                <w:rFonts w:ascii="Times New Roman" w:hAnsi="Times New Roman" w:eastAsia="Times New Roman" w:cs="Times New Roman"/>
                <w:sz w:val="24"/>
                <w:szCs w:val="24"/>
                <w:lang w:eastAsia="ru-RU"/>
              </w:rPr>
              <w:t xml:space="preserve">орожным покрытием;</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4) создавать условия, препятствующие обеспечению безопасности дорожного движения;</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5) осуществлять прогон животных через автомобильные дороги вне специально установленных мест, согласованных с владельцами автомобильных дорог;</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6) повреждать автомобильные дороги или осуществлять иные действия, наносящие ущерб автомобильным дорогам либо создающие препятствия движению транспортных средств и (или) </w:t>
            </w:r>
            <w:r>
              <w:rPr>
                <w:rFonts w:ascii="Times New Roman" w:hAnsi="Times New Roman" w:eastAsia="Times New Roman" w:cs="Times New Roman"/>
                <w:sz w:val="24"/>
                <w:szCs w:val="24"/>
                <w:lang w:eastAsia="ru-RU"/>
              </w:rPr>
              <w:t xml:space="preserve">пешеходов;</w:t>
            </w:r>
          </w:p>
          <w:p>
            <w:pPr>
              <w:shd w:val="clear" w:color="auto" w:fill="ffffff"/>
              <w:spacing w:after="0" w:line="240" w:lineRule="auto"/>
              <w:ind w:firstLine="601"/>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7) нарушать другие установленные Федеральным законом от 08.11.2007 № 257-ФЗ, другими </w:t>
            </w:r>
            <w:r>
              <w:rPr>
                <w:rFonts w:ascii="Times New Roman" w:hAnsi="Times New Roman" w:eastAsia="Times New Roman" w:cs="Times New Roman"/>
                <w:i/>
                <w:iCs/>
                <w:sz w:val="24"/>
                <w:szCs w:val="24"/>
                <w:lang w:eastAsia="ru-RU"/>
              </w:rPr>
              <w:t xml:space="preserve">федеральными законами</w:t>
            </w:r>
            <w:r>
              <w:rPr>
                <w:rFonts w:ascii="Times New Roman" w:hAnsi="Times New Roman" w:eastAsia="Times New Roman" w:cs="Times New Roman"/>
                <w:sz w:val="24"/>
                <w:szCs w:val="24"/>
                <w:lang w:eastAsia="ru-RU"/>
              </w:rPr>
              <w:t xml:space="preserve">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требования к ограничению использования автомобильных дорог, их полос</w:t>
            </w:r>
            <w:r>
              <w:rPr>
                <w:rFonts w:ascii="Times New Roman" w:hAnsi="Times New Roman" w:eastAsia="Times New Roman" w:cs="Times New Roman"/>
                <w:sz w:val="24"/>
                <w:szCs w:val="24"/>
                <w:lang w:eastAsia="ru-RU"/>
              </w:rPr>
              <w:t xml:space="preserve"> </w:t>
            </w:r>
            <w:r>
              <w:rPr>
                <w:rFonts w:ascii="Times New Roman" w:hAnsi="Times New Roman" w:eastAsia="Times New Roman" w:cs="Times New Roman"/>
                <w:sz w:val="24"/>
                <w:szCs w:val="24"/>
                <w:lang w:eastAsia="ru-RU"/>
              </w:rPr>
              <w:t xml:space="preserve">отвода и придорожных полос.</w:t>
            </w:r>
          </w:p>
        </w:tc>
      </w:tr>
      <w:tr>
        <w:trPr>
          <w:trHeight w:val="264"/>
        </w:trPr>
        <w:tc>
          <w:tcPr>
            <w:tcW w:w="587" w:type="dxa"/>
            <w:tcBorders>
              <w:top w:val="none"/>
              <w:left w:val="single" w:color="auto" w:sz="8" w:space="0"/>
              <w:bottom w:val="single" w:color="auto" w:sz="8" w:space="0"/>
              <w:right w:val="single" w:color="auto" w:sz="8" w:space="0"/>
            </w:tcBorders>
            <w:shd w:val="clear" w:color="auto" w:fill="ffffff"/>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5</w:t>
            </w:r>
          </w:p>
        </w:tc>
        <w:tc>
          <w:tcPr>
            <w:tcW w:w="2980" w:type="dxa"/>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315"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Федеральный закон от 08.11.2007 № 259-ФЗ «Устав автомобильного транспорта и городского наземного  электрического транспорта»</w:t>
            </w:r>
          </w:p>
        </w:tc>
        <w:tc>
          <w:tcPr>
            <w:tcW w:w="2105" w:type="dxa"/>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юридические лица, индивидуальные предприниматели</w:t>
            </w:r>
          </w:p>
          <w:p>
            <w:pPr>
              <w:spacing w:after="315"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tc>
        <w:tc>
          <w:tcPr>
            <w:tcW w:w="1564" w:type="dxa"/>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315"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п.5 ст3.1</w:t>
            </w:r>
          </w:p>
        </w:tc>
        <w:tc>
          <w:tcPr>
            <w:tcW w:w="7184" w:type="dxa"/>
            <w:tcBorders>
              <w:top w:val="none"/>
              <w:left w:val="none"/>
              <w:bottom w:val="single" w:color="auto" w:sz="8" w:space="0"/>
              <w:right w:val="single" w:color="auto" w:sz="8" w:space="0"/>
            </w:tcBorders>
            <w:shd w:val="clear" w:color="auto" w:fill="ffffff"/>
            <w:tcMar>
              <w:left w:w="108" w:type="dxa"/>
              <w:top w:w="0" w:type="dxa"/>
              <w:right w:w="108" w:type="dxa"/>
              <w:bottom w:w="0" w:type="dxa"/>
            </w:tcMar>
            <w:hideMark/>
          </w:tcPr>
          <w:p>
            <w:pPr>
              <w:spacing w:after="0"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Предметом муниципального контроля на автомобильном транспорте, городском наземном электрическом транспорте и в дорожном хозяйстве является соблюдение обязательных требований:                           </w:t>
            </w:r>
          </w:p>
          <w:p>
            <w:pPr>
              <w:spacing w:after="0"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1) в области автомобильных дорог и дорожной деятельности, установленных в отношении автомобильных дорог местного значения:</w:t>
            </w:r>
          </w:p>
          <w:p>
            <w:pPr>
              <w:spacing w:after="0"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а) к эксплуатации объектов дорожного сервиса, размещенных в полосах отвода и (или) придорожных полосах автомобильных дорог общего пользования;</w:t>
            </w:r>
          </w:p>
          <w:p>
            <w:pPr>
              <w:spacing w:after="0"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pPr>
              <w:spacing w:after="0"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2) установленных в отношении перевозок по муниципальным маршрутам регулярных перевозок (за исключением муниципальных маршрутов регулярных перевозок в границах субъектов Российской Федерации - городов федерального значения Москвы, Санкт-Петербурга и Севастополя),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tc>
      </w:tr>
      <w:bookmarkEnd w:id="0"/>
    </w:tbl>
    <w:p>
      <w:pPr>
        <w:rPr>
          <w:rFonts w:ascii="Times New Roman" w:hAnsi="Times New Roman" w:cs="Times New Roman"/>
          <w:sz w:val="24"/>
          <w:szCs w:val="24"/>
        </w:rPr>
      </w:pPr>
    </w:p>
    <w:sectPr>
      <w:pgSz w:w="16838" w:h="11906" w:orient="landscape"/>
      <w:pgMar w:top="851"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font>
  <w:font w:name="Calibri">
    <w:panose1 w:val="020F0502020204030204"/>
  </w:font>
  <w:font w:name="Cambria">
    <w:panose1 w:val="020405030504060302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a" w:default="1">
    <w:name w:val="Normal"/>
    <w:qFormat/>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left w:w="108" w:type="dxa"/>
        <w:top w:w="0" w:type="dxa"/>
        <w:right w:w="108" w:type="dxa"/>
        <w:bottom w:w="0" w:type="dxa"/>
      </w:tblCellMar>
    </w:tblPr>
  </w:style>
  <w:style w:type="numbering" w:styleId="a2" w:default="1">
    <w:name w:val="No List"/>
    <w:uiPriority w:val="99"/>
    <w:semiHidden/>
    <w:unhideWhenUsed/>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hyperlink" Target="garantf1://12064247.0" TargetMode="External"/><Relationship Id="rId7" Type="http://schemas.openxmlformats.org/officeDocument/2006/relationships/hyperlink" Target="http://ivo.garant.ru/" TargetMode="External"/><Relationship Id="rId8" Type="http://schemas.openxmlformats.org/officeDocument/2006/relationships/hyperlink" Target="http://ivo.garant.ru/" TargetMode="External"/><Relationship Id="rId9" Type="http://schemas.openxmlformats.org/officeDocument/2006/relationships/hyperlink" Target="http://ivo.garant.ru/" TargetMode="External"/><Relationship Id="rId10" Type="http://schemas.openxmlformats.org/officeDocument/2006/relationships/hyperlink" Target="http://ivo.garant.ru/" TargetMode="External"/><Relationship Id="rId11" Type="http://schemas.openxmlformats.org/officeDocument/2006/relationships/hyperlink" Target="http://ivo.garant.ru/" TargetMode="External"/><Relationship Id="rId12" Type="http://schemas.openxmlformats.org/officeDocument/2006/relationships/hyperlink" Target="http://ivo.garant.ru/" TargetMode="External"/><Relationship Id="rId13" Type="http://schemas.openxmlformats.org/officeDocument/2006/relationships/hyperlink" Target="http://ivo.garant.ru/" TargetMode="External"/><Relationship Id="rId14" Type="http://schemas.openxmlformats.org/officeDocument/2006/relationships/hyperlink" Target="http://ivo.garant.ru/" TargetMode="External"/><Relationship Id="rId15" Type="http://schemas.openxmlformats.org/officeDocument/2006/relationships/hyperlink" Target="http://ivo.garant.ru/" TargetMode="External"/><Relationship Id="rId16" Type="http://schemas.openxmlformats.org/officeDocument/2006/relationships/hyperlink" Target="http://ivo.garant.ru/" TargetMode="External"/></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Arial"/>
        <a:cs typeface="Arial"/>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Р7-Офис/7.4.0.340</Application>
  <Characters>18183</Characters>
  <CharactersWithSpaces>21330</CharactersWithSpaces>
  <Company/>
  <DocSecurity>0</DocSecurity>
  <HyperlinksChanged>false</HyperlinksChanged>
  <Lines>151</Lines>
  <LinksUpToDate>false</LinksUpToDate>
  <Pages>11</Pages>
  <Paragraphs>42</Paragraphs>
  <ScaleCrop>false</ScaleCrop>
  <SharedDoc>false</SharedDoc>
  <Template>Normal</Template>
  <TotalTime>2</TotalTime>
  <Words>3189</Word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Оля</dc:creator>
  <cp:keywords/>
  <dc:description/>
  <cp:lastModifiedBy>Оля</cp:lastModifiedBy>
  <cp:revision>2</cp:revision>
  <dcterms:created xsi:type="dcterms:W3CDTF">2022-06-01T07:08:00Z</dcterms:created>
  <dcterms:modified xsi:type="dcterms:W3CDTF">2022-06-01T07:10:00Z</dcterms:modified>
</cp:coreProperties>
</file>