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96" w:rsidRDefault="00BC278A">
      <w:pPr>
        <w:tabs>
          <w:tab w:val="left" w:pos="709"/>
        </w:tabs>
        <w:ind w:firstLine="1276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27" type="#_x0000_t202" style="position:absolute;left:0;text-align:left;margin-left:3.05pt;margin-top:-1.95pt;width:190.45pt;height:186.75pt;z-index:251660288;visibility:visible;mso-wrap-distance-left:9pt;mso-wrap-distance-top:0;mso-wrap-distance-right:9pt;mso-wrap-distance-bottom:0;mso-position-horizontal-relative:text;mso-position-vertical-relative:text" stroked="f">
            <v:textbox inset="0,0,0,0">
              <w:txbxContent>
                <w:p w:rsidR="002D0E39" w:rsidRDefault="002D0E39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2D0E39" w:rsidRDefault="002D0E39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2D0E39" w:rsidRDefault="002D0E39">
                  <w:pPr>
                    <w:spacing w:line="192" w:lineRule="auto"/>
                    <w:rPr>
                      <w:sz w:val="28"/>
                      <w:szCs w:val="28"/>
                    </w:rPr>
                  </w:pPr>
                </w:p>
                <w:p w:rsidR="002D0E39" w:rsidRDefault="002D0E39">
                  <w:pPr>
                    <w:ind w:firstLine="5387"/>
                    <w:jc w:val="center"/>
                    <w:rPr>
                      <w:sz w:val="28"/>
                      <w:szCs w:val="28"/>
                    </w:rPr>
                  </w:pPr>
                </w:p>
                <w:p w:rsidR="002D0E39" w:rsidRDefault="002D0E39">
                  <w:pPr>
                    <w:ind w:firstLine="5387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91612">
        <w:rPr>
          <w:sz w:val="28"/>
          <w:szCs w:val="28"/>
        </w:rPr>
        <w:t xml:space="preserve">          </w:t>
      </w:r>
      <w:r w:rsidR="00A91612">
        <w:rPr>
          <w:sz w:val="28"/>
          <w:szCs w:val="28"/>
        </w:rPr>
        <w:tab/>
      </w:r>
      <w:r w:rsidR="00A91612">
        <w:rPr>
          <w:sz w:val="28"/>
          <w:szCs w:val="28"/>
        </w:rPr>
        <w:tab/>
      </w:r>
      <w:r w:rsidR="00A91612">
        <w:rPr>
          <w:sz w:val="28"/>
          <w:szCs w:val="28"/>
        </w:rPr>
        <w:tab/>
      </w:r>
      <w:r w:rsidR="00A91612">
        <w:rPr>
          <w:sz w:val="28"/>
          <w:szCs w:val="28"/>
        </w:rPr>
        <w:tab/>
      </w:r>
      <w:r w:rsidR="00A91612">
        <w:rPr>
          <w:sz w:val="28"/>
          <w:szCs w:val="28"/>
        </w:rPr>
        <w:tab/>
      </w:r>
    </w:p>
    <w:tbl>
      <w:tblPr>
        <w:tblpPr w:leftFromText="180" w:rightFromText="180" w:vertAnchor="page" w:horzAnchor="margin" w:tblpY="883"/>
        <w:tblW w:w="0" w:type="auto"/>
        <w:tblLook w:val="04A0" w:firstRow="1" w:lastRow="0" w:firstColumn="1" w:lastColumn="0" w:noHBand="0" w:noVBand="1"/>
      </w:tblPr>
      <w:tblGrid>
        <w:gridCol w:w="5622"/>
      </w:tblGrid>
      <w:tr w:rsidR="00A91612" w:rsidTr="00A91612">
        <w:trPr>
          <w:trHeight w:val="4363"/>
        </w:trPr>
        <w:tc>
          <w:tcPr>
            <w:tcW w:w="5622" w:type="dxa"/>
            <w:shd w:val="clear" w:color="auto" w:fill="auto"/>
          </w:tcPr>
          <w:p w:rsidR="00A91612" w:rsidRDefault="00A91612" w:rsidP="00CD3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ФЕДЕРАЛЬНАЯ СЛУЖБА</w:t>
            </w:r>
          </w:p>
          <w:p w:rsidR="00A91612" w:rsidRDefault="00A91612" w:rsidP="00CD3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ГОСУДАРСТВЕННОЙ РЕГИСТРАЦИИ,</w:t>
            </w:r>
          </w:p>
          <w:p w:rsidR="00A91612" w:rsidRDefault="00A91612" w:rsidP="00CD3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КАДАСТРА И КАРТОГРАФИИ</w:t>
            </w:r>
          </w:p>
          <w:p w:rsidR="00A91612" w:rsidRDefault="00A91612" w:rsidP="00CD33BB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(РОСРЕЕСТР)</w:t>
            </w:r>
          </w:p>
          <w:p w:rsidR="00A91612" w:rsidRDefault="00A91612" w:rsidP="00CD33B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Управление Федеральной службы государственной </w:t>
            </w:r>
          </w:p>
          <w:p w:rsidR="00A91612" w:rsidRDefault="00A91612" w:rsidP="00CD3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регистрации, кадастра и картографии по</w:t>
            </w:r>
          </w:p>
          <w:p w:rsidR="00A91612" w:rsidRDefault="00A91612" w:rsidP="00CD3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Новосибирской области</w:t>
            </w:r>
          </w:p>
          <w:p w:rsidR="00A91612" w:rsidRDefault="00A91612" w:rsidP="00CD33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(Управление Росреестра  по Новосибирской области)</w:t>
            </w:r>
          </w:p>
          <w:p w:rsidR="00A91612" w:rsidRDefault="00A91612" w:rsidP="00CD33BB">
            <w:pPr>
              <w:tabs>
                <w:tab w:val="left" w:pos="315"/>
                <w:tab w:val="left" w:pos="567"/>
                <w:tab w:val="left" w:pos="1418"/>
              </w:tabs>
              <w:spacing w:before="120"/>
              <w:jc w:val="center"/>
              <w:rPr>
                <w:lang w:val="en-US"/>
              </w:rPr>
            </w:pPr>
            <w:r>
              <w:t>ул. Державина, д.28, г. Новосибирск, 630091</w:t>
            </w:r>
            <w:r>
              <w:br/>
              <w:t xml:space="preserve">тел. </w:t>
            </w:r>
            <w:r>
              <w:rPr>
                <w:lang w:val="en-US"/>
              </w:rPr>
              <w:t xml:space="preserve">(383) 2271087, </w:t>
            </w:r>
            <w:r>
              <w:t>факс</w:t>
            </w:r>
            <w:r>
              <w:rPr>
                <w:lang w:val="en-US"/>
              </w:rPr>
              <w:t xml:space="preserve"> (383) 2271009</w:t>
            </w:r>
          </w:p>
          <w:p w:rsidR="00A91612" w:rsidRPr="00A91612" w:rsidRDefault="00A91612" w:rsidP="00CD33BB">
            <w:pPr>
              <w:tabs>
                <w:tab w:val="left" w:pos="2552"/>
              </w:tabs>
              <w:jc w:val="center"/>
              <w:rPr>
                <w:lang w:val="en-US"/>
              </w:rPr>
            </w:pPr>
            <w:r w:rsidRPr="00A91612">
              <w:rPr>
                <w:lang w:val="en-US"/>
              </w:rPr>
              <w:t xml:space="preserve">e-mail: 54_upr@rosreestr.ru, </w:t>
            </w:r>
            <w:hyperlink r:id="rId7" w:tooltip="http://www.rosreestr.gov.ru" w:history="1">
              <w:r w:rsidRPr="00A91612">
                <w:rPr>
                  <w:rStyle w:val="FontStyle181"/>
                  <w:sz w:val="20"/>
                  <w:szCs w:val="20"/>
                  <w:lang w:val="en-US"/>
                </w:rPr>
                <w:t>http://www.rosreestr.gov.ru</w:t>
              </w:r>
            </w:hyperlink>
          </w:p>
          <w:p w:rsidR="00A91612" w:rsidRDefault="00A91612" w:rsidP="00CD33BB">
            <w:pPr>
              <w:tabs>
                <w:tab w:val="left" w:pos="2127"/>
                <w:tab w:val="left" w:pos="2552"/>
              </w:tabs>
              <w:rPr>
                <w:lang w:val="en-US"/>
              </w:rPr>
            </w:pPr>
          </w:p>
          <w:p w:rsidR="00A91612" w:rsidRDefault="00A91612" w:rsidP="00CD33BB">
            <w:pPr>
              <w:tabs>
                <w:tab w:val="left" w:pos="467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_____________________№________________________</w:t>
            </w:r>
          </w:p>
          <w:p w:rsidR="00A91612" w:rsidRDefault="00A91612" w:rsidP="00CD33BB">
            <w:pPr>
              <w:rPr>
                <w:sz w:val="22"/>
                <w:szCs w:val="22"/>
                <w:lang w:val="en-US"/>
              </w:rPr>
            </w:pPr>
          </w:p>
          <w:p w:rsidR="00A91612" w:rsidRDefault="00A91612" w:rsidP="00CD33BB">
            <w:pPr>
              <w:tabs>
                <w:tab w:val="left" w:pos="4678"/>
                <w:tab w:val="left" w:pos="4820"/>
                <w:tab w:val="left" w:pos="51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_________________________от_______________</w:t>
            </w:r>
          </w:p>
          <w:p w:rsidR="00A91612" w:rsidRDefault="00A91612" w:rsidP="00CD33BB">
            <w:pPr>
              <w:ind w:left="284"/>
            </w:pPr>
          </w:p>
        </w:tc>
      </w:tr>
    </w:tbl>
    <w:p w:rsidR="00905796" w:rsidRDefault="00905796">
      <w:pPr>
        <w:rPr>
          <w:i/>
          <w:sz w:val="28"/>
          <w:szCs w:val="28"/>
          <w:u w:val="single"/>
        </w:rPr>
      </w:pPr>
    </w:p>
    <w:p w:rsidR="00905796" w:rsidRDefault="00A91612">
      <w:pPr>
        <w:pStyle w:val="af4"/>
        <w:ind w:left="0"/>
        <w:rPr>
          <w:szCs w:val="28"/>
        </w:rPr>
      </w:pPr>
      <w:r>
        <w:rPr>
          <w:szCs w:val="28"/>
        </w:rPr>
        <w:t xml:space="preserve">               </w:t>
      </w:r>
    </w:p>
    <w:p w:rsidR="00905796" w:rsidRDefault="00905796">
      <w:pPr>
        <w:jc w:val="center"/>
        <w:rPr>
          <w:sz w:val="28"/>
          <w:szCs w:val="28"/>
        </w:rPr>
      </w:pPr>
    </w:p>
    <w:p w:rsidR="00905796" w:rsidRDefault="00905796">
      <w:pPr>
        <w:jc w:val="center"/>
        <w:rPr>
          <w:sz w:val="28"/>
          <w:szCs w:val="28"/>
        </w:rPr>
      </w:pPr>
    </w:p>
    <w:p w:rsidR="00905796" w:rsidRDefault="00905796">
      <w:pPr>
        <w:jc w:val="center"/>
        <w:rPr>
          <w:sz w:val="28"/>
          <w:szCs w:val="28"/>
        </w:rPr>
      </w:pPr>
    </w:p>
    <w:p w:rsidR="00905796" w:rsidRDefault="00905796">
      <w:pPr>
        <w:rPr>
          <w:sz w:val="28"/>
          <w:szCs w:val="28"/>
        </w:rPr>
      </w:pPr>
    </w:p>
    <w:p w:rsidR="00905796" w:rsidRDefault="00905796">
      <w:pPr>
        <w:rPr>
          <w:sz w:val="28"/>
          <w:szCs w:val="28"/>
        </w:rPr>
      </w:pPr>
    </w:p>
    <w:p w:rsidR="00905796" w:rsidRDefault="00905796">
      <w:pPr>
        <w:rPr>
          <w:sz w:val="28"/>
          <w:szCs w:val="28"/>
        </w:rPr>
      </w:pPr>
    </w:p>
    <w:p w:rsidR="00905796" w:rsidRDefault="00905796">
      <w:pPr>
        <w:rPr>
          <w:sz w:val="28"/>
          <w:szCs w:val="28"/>
        </w:rPr>
      </w:pPr>
    </w:p>
    <w:p w:rsidR="00905796" w:rsidRDefault="00905796">
      <w:pPr>
        <w:jc w:val="both"/>
        <w:rPr>
          <w:sz w:val="28"/>
          <w:szCs w:val="28"/>
        </w:rPr>
      </w:pPr>
    </w:p>
    <w:p w:rsidR="00905796" w:rsidRDefault="00905796">
      <w:pPr>
        <w:jc w:val="both"/>
        <w:rPr>
          <w:sz w:val="28"/>
          <w:szCs w:val="28"/>
        </w:rPr>
      </w:pPr>
    </w:p>
    <w:p w:rsidR="00905796" w:rsidRDefault="00A91612">
      <w:pPr>
        <w:tabs>
          <w:tab w:val="left" w:pos="70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 изменении размеров государственной</w:t>
      </w:r>
    </w:p>
    <w:p w:rsidR="00905796" w:rsidRDefault="00A91612">
      <w:pPr>
        <w:tabs>
          <w:tab w:val="left" w:pos="709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пошлины с 01.01.2025</w:t>
      </w:r>
    </w:p>
    <w:p w:rsidR="00905796" w:rsidRDefault="00905796">
      <w:pPr>
        <w:tabs>
          <w:tab w:val="left" w:pos="709"/>
        </w:tabs>
        <w:rPr>
          <w:sz w:val="28"/>
          <w:szCs w:val="28"/>
        </w:rPr>
      </w:pPr>
    </w:p>
    <w:p w:rsidR="00905796" w:rsidRDefault="00905796">
      <w:pPr>
        <w:tabs>
          <w:tab w:val="left" w:pos="709"/>
        </w:tabs>
        <w:ind w:left="284" w:right="56" w:firstLine="567"/>
        <w:contextualSpacing/>
        <w:jc w:val="center"/>
        <w:rPr>
          <w:sz w:val="28"/>
          <w:szCs w:val="28"/>
        </w:rPr>
      </w:pPr>
    </w:p>
    <w:p w:rsidR="00905796" w:rsidRDefault="00A91612">
      <w:pPr>
        <w:tabs>
          <w:tab w:val="left" w:pos="709"/>
        </w:tabs>
        <w:ind w:right="5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05796" w:rsidRDefault="00905796" w:rsidP="00C2539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C2539C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539C" w:rsidRPr="00C2539C">
        <w:rPr>
          <w:sz w:val="28"/>
          <w:szCs w:val="28"/>
        </w:rPr>
        <w:t xml:space="preserve">В связи с вступлением </w:t>
      </w:r>
      <w:r w:rsidR="00026866">
        <w:rPr>
          <w:sz w:val="28"/>
          <w:szCs w:val="28"/>
        </w:rPr>
        <w:t xml:space="preserve">в силу </w:t>
      </w:r>
      <w:r w:rsidR="00C2539C" w:rsidRPr="00C2539C">
        <w:rPr>
          <w:sz w:val="28"/>
          <w:szCs w:val="28"/>
        </w:rPr>
        <w:t>с 1 января 2025 г</w:t>
      </w:r>
      <w:r w:rsidR="00C2539C">
        <w:rPr>
          <w:sz w:val="28"/>
          <w:szCs w:val="28"/>
        </w:rPr>
        <w:t>ода</w:t>
      </w:r>
      <w:r w:rsidR="00C2539C" w:rsidRPr="00C2539C">
        <w:rPr>
          <w:sz w:val="28"/>
          <w:szCs w:val="28"/>
        </w:rPr>
        <w:t xml:space="preserve"> положений Налогового кодекса Российской Федерации</w:t>
      </w:r>
      <w:r w:rsidR="00A367C3">
        <w:rPr>
          <w:sz w:val="28"/>
          <w:szCs w:val="28"/>
        </w:rPr>
        <w:t xml:space="preserve"> (далее – НК РФ)</w:t>
      </w:r>
      <w:r w:rsidR="00C2539C" w:rsidRPr="00C2539C">
        <w:rPr>
          <w:sz w:val="28"/>
          <w:szCs w:val="28"/>
        </w:rPr>
        <w:t>, предусматривающих необходимость уплаты государственной пошлины за осуществление государ</w:t>
      </w:r>
      <w:r w:rsidR="006F6C80">
        <w:rPr>
          <w:sz w:val="28"/>
          <w:szCs w:val="28"/>
        </w:rPr>
        <w:t xml:space="preserve">ственного кадастрового учета, а также новых правил расчета </w:t>
      </w:r>
      <w:r w:rsidR="00C2539C" w:rsidRPr="00C2539C">
        <w:rPr>
          <w:sz w:val="28"/>
          <w:szCs w:val="28"/>
        </w:rPr>
        <w:t xml:space="preserve">государственной пошлины за государственную регистрацию прав, </w:t>
      </w:r>
      <w:r w:rsidR="00C2539C">
        <w:rPr>
          <w:sz w:val="28"/>
          <w:szCs w:val="28"/>
        </w:rPr>
        <w:t xml:space="preserve">Управление Росреестра по Новосибирской области (далее – Управление) </w:t>
      </w:r>
      <w:r w:rsidR="00026866">
        <w:rPr>
          <w:sz w:val="28"/>
          <w:szCs w:val="28"/>
        </w:rPr>
        <w:t xml:space="preserve">направляет для </w:t>
      </w:r>
      <w:r w:rsidR="00026866" w:rsidRPr="00C2539C">
        <w:rPr>
          <w:sz w:val="28"/>
          <w:szCs w:val="28"/>
        </w:rPr>
        <w:t xml:space="preserve">сведения и учета в работе </w:t>
      </w:r>
      <w:r w:rsidR="00C2539C" w:rsidRPr="00C2539C">
        <w:rPr>
          <w:sz w:val="28"/>
          <w:szCs w:val="28"/>
        </w:rPr>
        <w:t>перечен</w:t>
      </w:r>
      <w:r w:rsidR="00F069B7">
        <w:rPr>
          <w:sz w:val="28"/>
          <w:szCs w:val="28"/>
        </w:rPr>
        <w:t>ь</w:t>
      </w:r>
      <w:r w:rsidR="00C2539C" w:rsidRPr="00C2539C">
        <w:rPr>
          <w:sz w:val="28"/>
          <w:szCs w:val="28"/>
        </w:rPr>
        <w:t xml:space="preserve"> вопросов</w:t>
      </w:r>
      <w:r w:rsidR="00875DE6">
        <w:rPr>
          <w:sz w:val="28"/>
          <w:szCs w:val="28"/>
        </w:rPr>
        <w:t xml:space="preserve"> и ответов на них</w:t>
      </w:r>
      <w:r w:rsidR="003C5E2F" w:rsidRPr="003C5E2F">
        <w:rPr>
          <w:sz w:val="28"/>
          <w:szCs w:val="28"/>
        </w:rPr>
        <w:t xml:space="preserve"> </w:t>
      </w:r>
      <w:r w:rsidR="003C5E2F">
        <w:rPr>
          <w:sz w:val="28"/>
          <w:szCs w:val="28"/>
        </w:rPr>
        <w:t>направленные Росреестром (Приложение 1) и перечень</w:t>
      </w:r>
      <w:r w:rsidR="003C5E2F" w:rsidRPr="003C5E2F">
        <w:rPr>
          <w:sz w:val="28"/>
          <w:szCs w:val="28"/>
        </w:rPr>
        <w:t xml:space="preserve"> </w:t>
      </w:r>
      <w:r w:rsidR="003C5E2F" w:rsidRPr="00C2539C">
        <w:rPr>
          <w:sz w:val="28"/>
          <w:szCs w:val="28"/>
        </w:rPr>
        <w:t>вопросов</w:t>
      </w:r>
      <w:r w:rsidR="003C5E2F">
        <w:rPr>
          <w:sz w:val="28"/>
          <w:szCs w:val="28"/>
        </w:rPr>
        <w:t xml:space="preserve"> и ответов на них</w:t>
      </w:r>
      <w:r w:rsidR="00875DE6">
        <w:rPr>
          <w:sz w:val="28"/>
          <w:szCs w:val="28"/>
        </w:rPr>
        <w:t>, согласованны</w:t>
      </w:r>
      <w:r w:rsidR="003C5E2F">
        <w:rPr>
          <w:sz w:val="28"/>
          <w:szCs w:val="28"/>
        </w:rPr>
        <w:t>й</w:t>
      </w:r>
      <w:r w:rsidR="00875DE6">
        <w:rPr>
          <w:sz w:val="28"/>
          <w:szCs w:val="28"/>
        </w:rPr>
        <w:t xml:space="preserve"> с Департаментом налоговой политики Министерства финансов Российской Федерации</w:t>
      </w:r>
      <w:r w:rsidR="00F069B7">
        <w:rPr>
          <w:sz w:val="28"/>
          <w:szCs w:val="28"/>
        </w:rPr>
        <w:t xml:space="preserve"> (Приложение </w:t>
      </w:r>
      <w:r w:rsidR="003C5E2F">
        <w:rPr>
          <w:sz w:val="28"/>
          <w:szCs w:val="28"/>
        </w:rPr>
        <w:t>2</w:t>
      </w:r>
      <w:r w:rsidR="00F069B7">
        <w:rPr>
          <w:sz w:val="28"/>
          <w:szCs w:val="28"/>
        </w:rPr>
        <w:t>)</w:t>
      </w:r>
      <w:r w:rsidR="003C5E2F">
        <w:rPr>
          <w:sz w:val="28"/>
          <w:szCs w:val="28"/>
        </w:rPr>
        <w:t>.</w:t>
      </w:r>
      <w:r w:rsidR="00F069B7">
        <w:rPr>
          <w:sz w:val="28"/>
          <w:szCs w:val="28"/>
        </w:rPr>
        <w:t xml:space="preserve"> </w:t>
      </w:r>
    </w:p>
    <w:p w:rsidR="000423A3" w:rsidRDefault="000423A3" w:rsidP="000423A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пп. 4 п. 1 ст. 333.35 НК РФ </w:t>
      </w:r>
      <w:r w:rsidRPr="00141A92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при их обращении за совершением юридически значимых действий, установленных главой 25.3 НК РФ</w:t>
      </w:r>
      <w:r w:rsidR="003C5E2F" w:rsidRPr="00141A92">
        <w:rPr>
          <w:sz w:val="28"/>
          <w:szCs w:val="28"/>
        </w:rPr>
        <w:t>,</w:t>
      </w:r>
      <w:r w:rsidRPr="00141A92">
        <w:rPr>
          <w:sz w:val="28"/>
          <w:szCs w:val="28"/>
        </w:rPr>
        <w:t xml:space="preserve"> </w:t>
      </w:r>
      <w:r w:rsidR="003C5E2F" w:rsidRPr="00141A92">
        <w:rPr>
          <w:sz w:val="28"/>
          <w:szCs w:val="28"/>
        </w:rPr>
        <w:t xml:space="preserve">освобождены </w:t>
      </w:r>
      <w:r w:rsidRPr="00141A92">
        <w:rPr>
          <w:sz w:val="28"/>
          <w:szCs w:val="28"/>
        </w:rPr>
        <w:t>от уплаты государственной пошлины.</w:t>
      </w:r>
    </w:p>
    <w:p w:rsidR="00875DE6" w:rsidRDefault="000423A3" w:rsidP="00C2539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</w:t>
      </w:r>
      <w:r w:rsidR="00E55E5C">
        <w:rPr>
          <w:sz w:val="28"/>
          <w:szCs w:val="28"/>
        </w:rPr>
        <w:t xml:space="preserve">а органы </w:t>
      </w:r>
      <w:r w:rsidR="00026866">
        <w:rPr>
          <w:sz w:val="28"/>
          <w:szCs w:val="28"/>
        </w:rPr>
        <w:t>государственной власти и</w:t>
      </w:r>
      <w:r w:rsidR="00B868D5">
        <w:rPr>
          <w:sz w:val="28"/>
          <w:szCs w:val="28"/>
        </w:rPr>
        <w:t>ли</w:t>
      </w:r>
      <w:r w:rsidR="00026866">
        <w:rPr>
          <w:sz w:val="28"/>
          <w:szCs w:val="28"/>
        </w:rPr>
        <w:t xml:space="preserve"> органы </w:t>
      </w:r>
      <w:r w:rsidR="00E55E5C">
        <w:rPr>
          <w:sz w:val="28"/>
          <w:szCs w:val="28"/>
        </w:rPr>
        <w:t>местного самоуправления в ряде случаев возложена обязанность по направлению заявлений и прилагаемых к нему документов в орга</w:t>
      </w:r>
      <w:r w:rsidR="00026866">
        <w:rPr>
          <w:sz w:val="28"/>
          <w:szCs w:val="28"/>
        </w:rPr>
        <w:t xml:space="preserve">н регистрации прав </w:t>
      </w:r>
      <w:r w:rsidR="00760A84"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="00760A84">
        <w:rPr>
          <w:sz w:val="28"/>
          <w:szCs w:val="28"/>
          <w:shd w:val="clear" w:color="auto" w:fill="FFFFFF"/>
        </w:rPr>
        <w:t xml:space="preserve"> 19</w:t>
      </w:r>
      <w:r w:rsidR="00760A84">
        <w:rPr>
          <w:color w:val="000000"/>
          <w:sz w:val="28"/>
          <w:szCs w:val="28"/>
          <w:shd w:val="clear" w:color="auto" w:fill="FFFFFF"/>
        </w:rPr>
        <w:t xml:space="preserve"> </w:t>
      </w:r>
      <w:r w:rsidR="00760A84" w:rsidRPr="005C313C">
        <w:rPr>
          <w:bCs/>
          <w:sz w:val="28"/>
          <w:szCs w:val="28"/>
        </w:rPr>
        <w:t>Федерального закона от 13.07.2015</w:t>
      </w:r>
      <w:r w:rsidR="00760A84">
        <w:rPr>
          <w:bCs/>
          <w:sz w:val="28"/>
          <w:szCs w:val="28"/>
        </w:rPr>
        <w:t xml:space="preserve"> </w:t>
      </w:r>
      <w:r w:rsidR="00760A84" w:rsidRPr="005C313C">
        <w:rPr>
          <w:bCs/>
          <w:sz w:val="28"/>
          <w:szCs w:val="28"/>
        </w:rPr>
        <w:t>№ 218-ФЗ «О государственной регистрации недвижимости» (далее – Закон № 218-ФЗ)</w:t>
      </w:r>
      <w:r w:rsidR="009901C1" w:rsidRPr="009901C1">
        <w:rPr>
          <w:sz w:val="28"/>
          <w:szCs w:val="28"/>
        </w:rPr>
        <w:t xml:space="preserve"> </w:t>
      </w:r>
      <w:r w:rsidR="009901C1">
        <w:rPr>
          <w:sz w:val="28"/>
          <w:szCs w:val="28"/>
        </w:rPr>
        <w:t>с уплаченной государственной пошлиной</w:t>
      </w:r>
      <w:r>
        <w:rPr>
          <w:sz w:val="28"/>
          <w:szCs w:val="28"/>
        </w:rPr>
        <w:t>, предусмотренной специальными нормами законов</w:t>
      </w:r>
      <w:r w:rsidR="00E55E5C">
        <w:rPr>
          <w:sz w:val="28"/>
          <w:szCs w:val="28"/>
        </w:rPr>
        <w:t xml:space="preserve">. </w:t>
      </w:r>
    </w:p>
    <w:p w:rsidR="00905796" w:rsidRDefault="00C2539C" w:rsidP="00C2539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обращает внимание на </w:t>
      </w:r>
      <w:r w:rsidR="00DD7D24">
        <w:rPr>
          <w:sz w:val="28"/>
          <w:szCs w:val="28"/>
        </w:rPr>
        <w:t xml:space="preserve">следующие </w:t>
      </w:r>
      <w:r w:rsidR="004C5CBF">
        <w:rPr>
          <w:sz w:val="28"/>
          <w:szCs w:val="28"/>
        </w:rPr>
        <w:t xml:space="preserve">случаи, когда </w:t>
      </w:r>
      <w:r w:rsidR="00A91612">
        <w:rPr>
          <w:sz w:val="28"/>
          <w:szCs w:val="28"/>
        </w:rPr>
        <w:t>государственн</w:t>
      </w:r>
      <w:r w:rsidR="004C5CBF">
        <w:rPr>
          <w:sz w:val="28"/>
          <w:szCs w:val="28"/>
        </w:rPr>
        <w:t xml:space="preserve">ая </w:t>
      </w:r>
      <w:r w:rsidR="00A91612">
        <w:rPr>
          <w:sz w:val="28"/>
          <w:szCs w:val="28"/>
        </w:rPr>
        <w:t>пошлин</w:t>
      </w:r>
      <w:r w:rsidR="004C5CBF">
        <w:rPr>
          <w:sz w:val="28"/>
          <w:szCs w:val="28"/>
        </w:rPr>
        <w:t>а</w:t>
      </w:r>
      <w:r w:rsidR="00A91612">
        <w:rPr>
          <w:sz w:val="28"/>
          <w:szCs w:val="28"/>
        </w:rPr>
        <w:t xml:space="preserve"> </w:t>
      </w:r>
      <w:r w:rsidR="004C5CBF">
        <w:rPr>
          <w:sz w:val="28"/>
          <w:szCs w:val="28"/>
        </w:rPr>
        <w:t>з</w:t>
      </w:r>
      <w:r w:rsidR="00A91612">
        <w:rPr>
          <w:sz w:val="28"/>
          <w:szCs w:val="28"/>
        </w:rPr>
        <w:t>а осуществление государственного кадастрового учета и (или) государственной регистрации прав</w:t>
      </w:r>
      <w:r w:rsidR="004C5CBF">
        <w:rPr>
          <w:sz w:val="28"/>
          <w:szCs w:val="28"/>
        </w:rPr>
        <w:t xml:space="preserve"> должна быть оплачена получателем муниципальных (государственных) услуг</w:t>
      </w:r>
      <w:r w:rsidR="00E55E5C">
        <w:rPr>
          <w:sz w:val="28"/>
          <w:szCs w:val="28"/>
        </w:rPr>
        <w:t>.</w:t>
      </w:r>
    </w:p>
    <w:p w:rsidR="00875DE6" w:rsidRDefault="00875DE6" w:rsidP="00C2539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875DE6" w:rsidRPr="00875DE6" w:rsidRDefault="00A91612" w:rsidP="00875DE6">
      <w:pPr>
        <w:tabs>
          <w:tab w:val="left" w:pos="709"/>
          <w:tab w:val="left" w:pos="851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6C80">
        <w:rPr>
          <w:i/>
          <w:sz w:val="28"/>
          <w:szCs w:val="28"/>
        </w:rPr>
        <w:t>–</w:t>
      </w:r>
      <w:r w:rsidR="006F6C80" w:rsidRPr="006F6C80">
        <w:rPr>
          <w:i/>
          <w:sz w:val="28"/>
          <w:szCs w:val="28"/>
        </w:rPr>
        <w:t xml:space="preserve"> Н</w:t>
      </w:r>
      <w:r w:rsidR="006F6C80" w:rsidRPr="006F6C80">
        <w:rPr>
          <w:i/>
          <w:iCs/>
          <w:sz w:val="28"/>
          <w:szCs w:val="28"/>
        </w:rPr>
        <w:t>аправление</w:t>
      </w:r>
      <w:r w:rsidR="006F6C80">
        <w:rPr>
          <w:i/>
          <w:iCs/>
          <w:sz w:val="28"/>
          <w:szCs w:val="28"/>
        </w:rPr>
        <w:t xml:space="preserve"> документов в орган регистрации прав при</w:t>
      </w:r>
      <w:r>
        <w:rPr>
          <w:i/>
          <w:iCs/>
          <w:sz w:val="28"/>
          <w:szCs w:val="28"/>
        </w:rPr>
        <w:t xml:space="preserve"> выдаче разрешения на ввод в эксплуатацию объекта недвижимости.</w:t>
      </w:r>
      <w:r w:rsidR="00875DE6">
        <w:rPr>
          <w:sz w:val="28"/>
          <w:szCs w:val="28"/>
        </w:rPr>
        <w:t xml:space="preserve"> </w:t>
      </w:r>
      <w:r w:rsidR="00875DE6" w:rsidRPr="00875DE6">
        <w:rPr>
          <w:i/>
          <w:iCs/>
          <w:sz w:val="28"/>
          <w:szCs w:val="28"/>
        </w:rPr>
        <w:t>Государственной пошлина уплачивается лицом, обратившимся с заявлением о выдаче разрешения на ввод соответствующего объекта недвижимости в эксплуатацию (застройщиком).</w:t>
      </w:r>
    </w:p>
    <w:p w:rsidR="00905796" w:rsidRDefault="0090579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0A8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Государственная пошлина за </w:t>
      </w:r>
      <w:r w:rsidRPr="00F069B7">
        <w:rPr>
          <w:b/>
          <w:sz w:val="28"/>
          <w:szCs w:val="28"/>
        </w:rPr>
        <w:t>гос</w:t>
      </w:r>
      <w:r w:rsidR="00A367C3" w:rsidRPr="00F069B7">
        <w:rPr>
          <w:b/>
          <w:sz w:val="28"/>
          <w:szCs w:val="28"/>
        </w:rPr>
        <w:t>ударственн</w:t>
      </w:r>
      <w:r w:rsidR="00F069B7">
        <w:rPr>
          <w:b/>
          <w:sz w:val="28"/>
          <w:szCs w:val="28"/>
        </w:rPr>
        <w:t>ый</w:t>
      </w:r>
      <w:r w:rsidR="00A367C3" w:rsidRPr="00F069B7">
        <w:rPr>
          <w:b/>
          <w:sz w:val="28"/>
          <w:szCs w:val="28"/>
        </w:rPr>
        <w:t xml:space="preserve"> кадастров</w:t>
      </w:r>
      <w:r w:rsidR="00F069B7">
        <w:rPr>
          <w:b/>
          <w:sz w:val="28"/>
          <w:szCs w:val="28"/>
        </w:rPr>
        <w:t>ый</w:t>
      </w:r>
      <w:r w:rsidR="00A367C3" w:rsidRPr="00F069B7">
        <w:rPr>
          <w:b/>
          <w:sz w:val="28"/>
          <w:szCs w:val="28"/>
        </w:rPr>
        <w:t xml:space="preserve"> учет</w:t>
      </w:r>
      <w:r w:rsidRPr="00F069B7">
        <w:rPr>
          <w:b/>
          <w:sz w:val="28"/>
          <w:szCs w:val="28"/>
        </w:rPr>
        <w:t xml:space="preserve"> и государственн</w:t>
      </w:r>
      <w:r w:rsidR="00F069B7">
        <w:rPr>
          <w:b/>
          <w:sz w:val="28"/>
          <w:szCs w:val="28"/>
        </w:rPr>
        <w:t>ую</w:t>
      </w:r>
      <w:r w:rsidRPr="00F069B7">
        <w:rPr>
          <w:b/>
          <w:sz w:val="28"/>
          <w:szCs w:val="28"/>
        </w:rPr>
        <w:t xml:space="preserve"> регистраци</w:t>
      </w:r>
      <w:r w:rsidR="00F069B7">
        <w:rPr>
          <w:b/>
          <w:sz w:val="28"/>
          <w:szCs w:val="28"/>
        </w:rPr>
        <w:t>ю</w:t>
      </w:r>
      <w:r w:rsidRPr="00F069B7">
        <w:rPr>
          <w:b/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 в связи с созданием объекта недвижимости, являюще</w:t>
      </w:r>
      <w:r>
        <w:rPr>
          <w:color w:val="000000"/>
          <w:sz w:val="28"/>
          <w:szCs w:val="28"/>
          <w:shd w:val="clear" w:color="auto" w:fill="FFFFFF"/>
        </w:rPr>
        <w:t>гося зданием или сооружением за исключением</w:t>
      </w:r>
      <w:r>
        <w:rPr>
          <w:sz w:val="28"/>
          <w:szCs w:val="28"/>
        </w:rPr>
        <w:t xml:space="preserve"> случаев, установленных ч. 3.9 ст.</w:t>
      </w:r>
      <w:r w:rsidR="00A367C3">
        <w:rPr>
          <w:sz w:val="28"/>
          <w:szCs w:val="28"/>
        </w:rPr>
        <w:t xml:space="preserve"> </w:t>
      </w:r>
      <w:r>
        <w:rPr>
          <w:sz w:val="28"/>
          <w:szCs w:val="28"/>
        </w:rPr>
        <w:t>55 Градостроительного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на основании разрешения на ввод объекта капитального строительства в эксплуатацию </w:t>
      </w:r>
      <w:r>
        <w:rPr>
          <w:sz w:val="28"/>
          <w:szCs w:val="28"/>
        </w:rPr>
        <w:t>составляет: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для физических лиц - 6 000 рублей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для юридических лиц - 66 000 рублей (пп. 22.4 п.</w:t>
      </w:r>
      <w:r w:rsidR="00A367C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 ст. 333.33 НК РФ).</w:t>
      </w:r>
    </w:p>
    <w:p w:rsidR="00F069B7" w:rsidRDefault="00F069B7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9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Государственная пошлина за </w:t>
      </w:r>
      <w:r w:rsidRPr="00F069B7">
        <w:rPr>
          <w:b/>
          <w:sz w:val="28"/>
          <w:szCs w:val="28"/>
        </w:rPr>
        <w:t>государственный кадастровый учет</w:t>
      </w:r>
      <w:r>
        <w:rPr>
          <w:sz w:val="28"/>
          <w:szCs w:val="28"/>
        </w:rPr>
        <w:t xml:space="preserve"> при вводе в эксплуатацию многоквартирного дома и (или) иного объекта недвижимости, создание которых осуществлялось с привлечением денежных средств участников долевого строительства в соответствии с Федеральным </w:t>
      </w:r>
      <w:hyperlink r:id="rId8" w:tooltip="https://login.consultant.ru/link/?req=doc&amp;base=LAW&amp;n=48307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созданного жилищно-строительным кооперативом, а также объекта недвижимости, созданного с привлечением средств нескольких лиц,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возникновении прав на созданные здание, сооружение или на все расположенные в таких здании, сооружении помещения, машино-места составляет:</w:t>
      </w:r>
    </w:p>
    <w:p w:rsidR="00905796" w:rsidRDefault="00A91612">
      <w:pPr>
        <w:tabs>
          <w:tab w:val="left" w:pos="709"/>
          <w:tab w:val="left" w:pos="851"/>
        </w:tabs>
        <w:jc w:val="both"/>
        <w:outlineLvl w:val="0"/>
        <w:rPr>
          <w:b/>
          <w:bCs/>
          <w:i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для физических лиц - 2000 рублей;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для организаций - 22 000 рублей (пп. 22.2 п.</w:t>
      </w:r>
      <w:r w:rsidR="002D0E3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 ст. 333.33 НК РФ).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  <w:szCs w:val="28"/>
        </w:rPr>
        <w:t>Государственная пошлина за одновременно осуществляемый в данном случае государственный кадастровый учет всех расположенных в таком здании, сооружении помещений и (или) машино-мест, в том числе помещений, относящихся к имуществу общего пользования, не уплачивается (п. 1 ст. 333.34-1 НК РФ).</w:t>
      </w:r>
    </w:p>
    <w:p w:rsidR="00F069B7" w:rsidRDefault="00F069B7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760A84" w:rsidRDefault="00F069B7" w:rsidP="00F069B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0A84">
        <w:rPr>
          <w:sz w:val="28"/>
          <w:szCs w:val="28"/>
        </w:rPr>
        <w:t xml:space="preserve">Государственная пошлина за </w:t>
      </w:r>
      <w:r w:rsidR="006B71EC">
        <w:rPr>
          <w:color w:val="000000"/>
          <w:sz w:val="30"/>
          <w:szCs w:val="30"/>
          <w:shd w:val="clear" w:color="auto" w:fill="FFFFFF"/>
        </w:rPr>
        <w:t> </w:t>
      </w:r>
      <w:r w:rsidR="006B71EC" w:rsidRPr="006B71EC">
        <w:rPr>
          <w:b/>
          <w:color w:val="000000"/>
          <w:sz w:val="30"/>
          <w:szCs w:val="30"/>
          <w:shd w:val="clear" w:color="auto" w:fill="FFFFFF"/>
        </w:rPr>
        <w:t>государственный кадастровый учет здания, сооружения и государственную регистрацию прав собственности застройщика, иного лица (иных лиц) на все расположенные в таких здании, сооружении помещения, машино-места</w:t>
      </w:r>
      <w:r w:rsidR="006B71EC" w:rsidRPr="00F069B7">
        <w:rPr>
          <w:b/>
          <w:sz w:val="28"/>
          <w:szCs w:val="28"/>
        </w:rPr>
        <w:t xml:space="preserve"> </w:t>
      </w:r>
      <w:r w:rsidR="00760A84">
        <w:rPr>
          <w:sz w:val="28"/>
          <w:szCs w:val="28"/>
        </w:rPr>
        <w:t xml:space="preserve">при вводе в эксплуатацию многоквартирного дома и (или) иного </w:t>
      </w:r>
      <w:r w:rsidR="00760A84">
        <w:rPr>
          <w:sz w:val="28"/>
          <w:szCs w:val="28"/>
        </w:rPr>
        <w:lastRenderedPageBreak/>
        <w:t>объекта недвижимости</w:t>
      </w:r>
      <w:r w:rsidR="006B71EC" w:rsidRPr="006B71EC">
        <w:rPr>
          <w:sz w:val="28"/>
          <w:szCs w:val="28"/>
        </w:rPr>
        <w:t xml:space="preserve"> (</w:t>
      </w:r>
      <w:r w:rsidR="006B71EC">
        <w:rPr>
          <w:sz w:val="28"/>
          <w:szCs w:val="28"/>
        </w:rPr>
        <w:t xml:space="preserve">за исключением случаев, </w:t>
      </w:r>
      <w:r w:rsidR="003C5E2F">
        <w:rPr>
          <w:sz w:val="28"/>
          <w:szCs w:val="28"/>
        </w:rPr>
        <w:t>указанных в п.</w:t>
      </w:r>
      <w:r w:rsidR="00657E9B">
        <w:rPr>
          <w:sz w:val="28"/>
          <w:szCs w:val="28"/>
        </w:rPr>
        <w:t xml:space="preserve"> </w:t>
      </w:r>
      <w:r w:rsidR="003C5E2F">
        <w:rPr>
          <w:sz w:val="28"/>
          <w:szCs w:val="28"/>
        </w:rPr>
        <w:t>2</w:t>
      </w:r>
      <w:r w:rsidR="00657E9B">
        <w:rPr>
          <w:sz w:val="28"/>
          <w:szCs w:val="28"/>
        </w:rPr>
        <w:t xml:space="preserve"> письма</w:t>
      </w:r>
      <w:r w:rsidR="006B71EC">
        <w:rPr>
          <w:sz w:val="28"/>
          <w:szCs w:val="28"/>
        </w:rPr>
        <w:t xml:space="preserve">) составляет: </w:t>
      </w:r>
    </w:p>
    <w:p w:rsidR="006B71EC" w:rsidRPr="006B71EC" w:rsidRDefault="006B71EC" w:rsidP="00F069B7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 w:rsidRPr="006B71EC">
        <w:rPr>
          <w:b/>
          <w:sz w:val="28"/>
          <w:szCs w:val="28"/>
        </w:rPr>
        <w:t>Государственный кадастровый учет:</w:t>
      </w:r>
    </w:p>
    <w:p w:rsidR="006B71EC" w:rsidRDefault="006B71EC" w:rsidP="006B71EC">
      <w:pPr>
        <w:tabs>
          <w:tab w:val="left" w:pos="709"/>
          <w:tab w:val="left" w:pos="851"/>
        </w:tabs>
        <w:ind w:firstLine="709"/>
        <w:jc w:val="both"/>
        <w:outlineLvl w:val="0"/>
        <w:rPr>
          <w:b/>
          <w:bCs/>
          <w:i/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>для физических лиц - 2000 рублей;</w:t>
      </w:r>
    </w:p>
    <w:p w:rsidR="006B71EC" w:rsidRDefault="006B71EC" w:rsidP="006B71EC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для организаций - 22 000 рублей (пп. 22.2 п.</w:t>
      </w:r>
      <w:r w:rsidR="002D0E3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 ст. 333.33 НК РФ).</w:t>
      </w:r>
    </w:p>
    <w:p w:rsidR="006B71EC" w:rsidRDefault="006B71EC" w:rsidP="006B71EC">
      <w:pPr>
        <w:tabs>
          <w:tab w:val="left" w:pos="709"/>
          <w:tab w:val="left" w:pos="851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Государственная регистрация прав </w:t>
      </w:r>
    </w:p>
    <w:p w:rsidR="006B71EC" w:rsidRDefault="00B1470C" w:rsidP="00B1470C">
      <w:pPr>
        <w:tabs>
          <w:tab w:val="left" w:pos="709"/>
          <w:tab w:val="left" w:pos="851"/>
        </w:tabs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r w:rsidR="003C5E2F">
        <w:rPr>
          <w:b/>
          <w:bCs/>
          <w:i/>
          <w:iCs/>
          <w:sz w:val="28"/>
          <w:szCs w:val="28"/>
        </w:rPr>
        <w:t xml:space="preserve">за каждое помещение, </w:t>
      </w:r>
      <w:r w:rsidR="006B71EC">
        <w:rPr>
          <w:b/>
          <w:bCs/>
          <w:i/>
          <w:iCs/>
          <w:sz w:val="28"/>
          <w:szCs w:val="28"/>
        </w:rPr>
        <w:t>машино-место (кроме помещений, вхо</w:t>
      </w:r>
      <w:r>
        <w:rPr>
          <w:b/>
          <w:bCs/>
          <w:i/>
          <w:iCs/>
          <w:sz w:val="28"/>
          <w:szCs w:val="28"/>
        </w:rPr>
        <w:t>дящих в состав общего имущества):</w:t>
      </w:r>
    </w:p>
    <w:p w:rsidR="00B1470C" w:rsidRDefault="00B1470C" w:rsidP="00B1470C">
      <w:pPr>
        <w:tabs>
          <w:tab w:val="left" w:pos="709"/>
          <w:tab w:val="left" w:pos="851"/>
        </w:tabs>
        <w:ind w:firstLine="709"/>
        <w:jc w:val="both"/>
        <w:outlineLvl w:val="0"/>
        <w:rPr>
          <w:b/>
          <w:bCs/>
          <w:i/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>для физических лиц - 4000 рублей;</w:t>
      </w:r>
    </w:p>
    <w:p w:rsidR="00B1470C" w:rsidRDefault="00B1470C" w:rsidP="00B1470C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для организаций - 44 000 рублей (пп. 22 п.</w:t>
      </w:r>
      <w:r w:rsidR="002D0E3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 ст. 333.33 НК РФ).</w:t>
      </w:r>
    </w:p>
    <w:p w:rsidR="00760A84" w:rsidRDefault="00760A84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3B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Государственная пошлина за осуществление государственного кадастрового учета изменений в результате реконструкции объекта недвижимости </w:t>
      </w:r>
      <w:r w:rsidR="00B1470C">
        <w:rPr>
          <w:sz w:val="28"/>
          <w:szCs w:val="28"/>
        </w:rPr>
        <w:t>или ввода в эксплуатацию последующего этапа строительства (в случае, если не образуется новый объект недвижимости)</w:t>
      </w:r>
      <w:r w:rsidR="00B1470C" w:rsidRPr="00B1470C">
        <w:rPr>
          <w:sz w:val="28"/>
          <w:szCs w:val="28"/>
        </w:rPr>
        <w:t xml:space="preserve"> </w:t>
      </w:r>
      <w:r w:rsidR="00B1470C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</w:p>
    <w:p w:rsidR="00905796" w:rsidRDefault="00A91612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для физических лиц - 1 000 рублей;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для организаций - 2 000 рублей (пп. 22.3 п. 1 </w:t>
      </w:r>
      <w:r w:rsidR="002D0E39">
        <w:rPr>
          <w:b/>
          <w:bCs/>
          <w:i/>
          <w:iCs/>
          <w:sz w:val="28"/>
          <w:szCs w:val="28"/>
        </w:rPr>
        <w:t>ст. 333.33 НК РФ</w:t>
      </w:r>
      <w:r>
        <w:rPr>
          <w:b/>
          <w:bCs/>
          <w:i/>
          <w:iCs/>
          <w:sz w:val="28"/>
          <w:szCs w:val="28"/>
        </w:rPr>
        <w:t>).</w:t>
      </w:r>
    </w:p>
    <w:p w:rsidR="00B1470C" w:rsidRDefault="00B1470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905796" w:rsidRDefault="00A91612">
      <w:pPr>
        <w:tabs>
          <w:tab w:val="left" w:pos="709"/>
          <w:tab w:val="left" w:pos="851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6F6C80" w:rsidRPr="006F6C80">
        <w:rPr>
          <w:i/>
          <w:sz w:val="28"/>
          <w:szCs w:val="28"/>
        </w:rPr>
        <w:t>Н</w:t>
      </w:r>
      <w:r w:rsidR="006F6C80" w:rsidRPr="006F6C80">
        <w:rPr>
          <w:i/>
          <w:iCs/>
          <w:sz w:val="28"/>
          <w:szCs w:val="28"/>
        </w:rPr>
        <w:t>аправление</w:t>
      </w:r>
      <w:r w:rsidR="006F6C80">
        <w:rPr>
          <w:i/>
          <w:iCs/>
          <w:sz w:val="28"/>
          <w:szCs w:val="28"/>
        </w:rPr>
        <w:t xml:space="preserve"> документов в орган регистрации прав при поступлении</w:t>
      </w:r>
      <w:r>
        <w:rPr>
          <w:i/>
          <w:iCs/>
          <w:color w:val="000000"/>
          <w:sz w:val="30"/>
        </w:rPr>
        <w:t xml:space="preserve"> </w:t>
      </w:r>
      <w:r>
        <w:rPr>
          <w:i/>
          <w:iCs/>
          <w:color w:val="000000"/>
          <w:sz w:val="30"/>
          <w:highlight w:val="white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>
        <w:rPr>
          <w:i/>
          <w:iCs/>
          <w:sz w:val="28"/>
          <w:szCs w:val="28"/>
        </w:rPr>
        <w:t xml:space="preserve"> в случае отсутствия оснований направления </w:t>
      </w:r>
      <w:r>
        <w:rPr>
          <w:i/>
          <w:iCs/>
          <w:color w:val="000000"/>
          <w:sz w:val="30"/>
          <w:highlight w:val="white"/>
        </w:rPr>
        <w:t>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i/>
          <w:iCs/>
          <w:sz w:val="28"/>
          <w:szCs w:val="28"/>
        </w:rPr>
        <w:t>.</w:t>
      </w:r>
    </w:p>
    <w:p w:rsidR="00B1470C" w:rsidRDefault="00B1470C">
      <w:pPr>
        <w:tabs>
          <w:tab w:val="left" w:pos="709"/>
          <w:tab w:val="left" w:pos="851"/>
        </w:tabs>
        <w:jc w:val="both"/>
        <w:rPr>
          <w:bCs/>
          <w:i/>
          <w:sz w:val="28"/>
          <w:szCs w:val="28"/>
        </w:rPr>
      </w:pP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Государственная пошлина </w:t>
      </w:r>
      <w:r w:rsidRPr="00B1470C">
        <w:rPr>
          <w:b/>
          <w:sz w:val="28"/>
          <w:szCs w:val="28"/>
        </w:rPr>
        <w:t>за осуществление государственного кадастрового учета и государственной регистрации прав</w:t>
      </w:r>
      <w:r>
        <w:rPr>
          <w:sz w:val="28"/>
          <w:szCs w:val="28"/>
        </w:rPr>
        <w:t xml:space="preserve"> в связи с созданием объекта недвижимости составляет:</w:t>
      </w:r>
    </w:p>
    <w:p w:rsidR="00905796" w:rsidRDefault="00A91612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для физических лиц - 1 000 рублей (пп. 24. 1 п. 1 </w:t>
      </w:r>
      <w:r w:rsidR="002D0E39">
        <w:rPr>
          <w:b/>
          <w:bCs/>
          <w:i/>
          <w:iCs/>
          <w:sz w:val="28"/>
          <w:szCs w:val="28"/>
        </w:rPr>
        <w:t>ст. 333.33 НК РФ</w:t>
      </w:r>
      <w:r>
        <w:rPr>
          <w:b/>
          <w:bCs/>
          <w:i/>
          <w:iCs/>
          <w:sz w:val="28"/>
          <w:szCs w:val="28"/>
        </w:rPr>
        <w:t>);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для организаций - 66 000 рублей (пп. 22. 4  п. 1 </w:t>
      </w:r>
      <w:r w:rsidR="002D0E39">
        <w:rPr>
          <w:b/>
          <w:bCs/>
          <w:i/>
          <w:iCs/>
          <w:sz w:val="28"/>
          <w:szCs w:val="28"/>
        </w:rPr>
        <w:t>ст. 333.33 НК РФ</w:t>
      </w:r>
      <w:r>
        <w:rPr>
          <w:b/>
          <w:bCs/>
          <w:i/>
          <w:iCs/>
          <w:sz w:val="28"/>
          <w:szCs w:val="28"/>
        </w:rPr>
        <w:t>).</w:t>
      </w:r>
    </w:p>
    <w:p w:rsidR="00B1470C" w:rsidRDefault="00B1470C">
      <w:pPr>
        <w:tabs>
          <w:tab w:val="left" w:pos="709"/>
          <w:tab w:val="left" w:pos="851"/>
        </w:tabs>
        <w:jc w:val="both"/>
        <w:rPr>
          <w:b/>
          <w:bCs/>
          <w:i/>
          <w:iCs/>
          <w:sz w:val="28"/>
          <w:szCs w:val="28"/>
        </w:rPr>
      </w:pPr>
    </w:p>
    <w:p w:rsidR="00905796" w:rsidRDefault="00A91612">
      <w:pPr>
        <w:tabs>
          <w:tab w:val="left" w:pos="709"/>
          <w:tab w:val="left" w:pos="851"/>
        </w:tabs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- </w:t>
      </w:r>
      <w:r w:rsidR="006F6C80" w:rsidRPr="006F6C80">
        <w:rPr>
          <w:i/>
          <w:sz w:val="28"/>
          <w:szCs w:val="28"/>
        </w:rPr>
        <w:t>Н</w:t>
      </w:r>
      <w:r w:rsidR="006F6C80" w:rsidRPr="006F6C80">
        <w:rPr>
          <w:i/>
          <w:iCs/>
          <w:sz w:val="28"/>
          <w:szCs w:val="28"/>
        </w:rPr>
        <w:t>аправление</w:t>
      </w:r>
      <w:r w:rsidR="006F6C80">
        <w:rPr>
          <w:i/>
          <w:iCs/>
          <w:sz w:val="28"/>
          <w:szCs w:val="28"/>
        </w:rPr>
        <w:t xml:space="preserve"> документов в орган регистрации прав  при утверждении </w:t>
      </w:r>
      <w:r>
        <w:rPr>
          <w:i/>
          <w:iCs/>
          <w:sz w:val="28"/>
          <w:szCs w:val="28"/>
        </w:rPr>
        <w:t>ак</w:t>
      </w:r>
      <w:r>
        <w:rPr>
          <w:i/>
          <w:iCs/>
          <w:color w:val="000000"/>
          <w:sz w:val="30"/>
          <w:highlight w:val="white"/>
        </w:rPr>
        <w:t>та приемочной комиссии, подтверждающего завершение перепланировки помещений в многоквартирном доме</w:t>
      </w:r>
      <w:r>
        <w:rPr>
          <w:i/>
          <w:iCs/>
          <w:sz w:val="28"/>
          <w:szCs w:val="28"/>
        </w:rPr>
        <w:t>,</w:t>
      </w:r>
      <w:r>
        <w:rPr>
          <w:i/>
          <w:iCs/>
          <w:color w:val="000000"/>
          <w:sz w:val="30"/>
          <w:highlight w:val="white"/>
        </w:rPr>
        <w:t xml:space="preserve"> в том числе в связи с переводом жилого помещения в нежилое помещение или нежилого помещения в жилое помещение</w:t>
      </w:r>
      <w:r>
        <w:rPr>
          <w:i/>
          <w:iCs/>
          <w:sz w:val="28"/>
          <w:szCs w:val="28"/>
        </w:rPr>
        <w:t>.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="00F031AF">
        <w:rPr>
          <w:sz w:val="28"/>
          <w:szCs w:val="28"/>
        </w:rPr>
        <w:t>Оплата г</w:t>
      </w:r>
      <w:r>
        <w:rPr>
          <w:sz w:val="28"/>
          <w:szCs w:val="28"/>
        </w:rPr>
        <w:t>осударственн</w:t>
      </w:r>
      <w:r w:rsidR="00F031AF">
        <w:rPr>
          <w:sz w:val="28"/>
          <w:szCs w:val="28"/>
        </w:rPr>
        <w:t>ой</w:t>
      </w:r>
      <w:r>
        <w:rPr>
          <w:sz w:val="28"/>
          <w:szCs w:val="28"/>
        </w:rPr>
        <w:t xml:space="preserve"> пошлин</w:t>
      </w:r>
      <w:r w:rsidR="00F031AF">
        <w:rPr>
          <w:sz w:val="28"/>
          <w:szCs w:val="28"/>
        </w:rPr>
        <w:t>ы</w:t>
      </w:r>
      <w:r>
        <w:rPr>
          <w:sz w:val="28"/>
          <w:szCs w:val="28"/>
        </w:rPr>
        <w:t xml:space="preserve"> за осуществление </w:t>
      </w:r>
      <w:r w:rsidRPr="00435B54">
        <w:rPr>
          <w:b/>
          <w:sz w:val="28"/>
          <w:szCs w:val="28"/>
        </w:rPr>
        <w:t>государственного кадастрового учета изменений</w:t>
      </w:r>
      <w:r>
        <w:rPr>
          <w:sz w:val="28"/>
          <w:szCs w:val="28"/>
        </w:rPr>
        <w:t xml:space="preserve"> объекта недвижимости </w:t>
      </w:r>
      <w:r w:rsidR="00F031A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i/>
          <w:iCs/>
          <w:sz w:val="28"/>
          <w:szCs w:val="28"/>
        </w:rPr>
        <w:t>:</w:t>
      </w:r>
    </w:p>
    <w:p w:rsidR="00905796" w:rsidRDefault="00A91612">
      <w:pPr>
        <w:tabs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для физических лиц - 1 000 рублей;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для организаций - 2 000 рублей</w:t>
      </w:r>
      <w:r w:rsidR="00435B54">
        <w:rPr>
          <w:b/>
          <w:bCs/>
          <w:i/>
          <w:iCs/>
          <w:sz w:val="28"/>
          <w:szCs w:val="28"/>
        </w:rPr>
        <w:t xml:space="preserve"> (пп. 22.3 п. 1 </w:t>
      </w:r>
      <w:r w:rsidR="002D0E39">
        <w:rPr>
          <w:b/>
          <w:bCs/>
          <w:i/>
          <w:iCs/>
          <w:sz w:val="28"/>
          <w:szCs w:val="28"/>
        </w:rPr>
        <w:t>ст. 333.33 НК РФ</w:t>
      </w:r>
      <w:r w:rsidR="00435B54">
        <w:rPr>
          <w:b/>
          <w:bCs/>
          <w:i/>
          <w:iCs/>
          <w:sz w:val="28"/>
          <w:szCs w:val="28"/>
        </w:rPr>
        <w:t>).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образования новых помещений в результате завершения работ по перепланировке государственная пошлина за осуществление </w:t>
      </w:r>
      <w:r w:rsidRPr="00D363BE">
        <w:rPr>
          <w:b/>
          <w:sz w:val="28"/>
          <w:szCs w:val="28"/>
        </w:rPr>
        <w:lastRenderedPageBreak/>
        <w:t>государственного кадастрового учете и государственной регистрации прав</w:t>
      </w:r>
      <w:r>
        <w:rPr>
          <w:sz w:val="28"/>
          <w:szCs w:val="28"/>
        </w:rPr>
        <w:t xml:space="preserve">  составляет: </w:t>
      </w:r>
    </w:p>
    <w:p w:rsidR="00905796" w:rsidRPr="00A91612" w:rsidRDefault="00A91612">
      <w:pPr>
        <w:tabs>
          <w:tab w:val="left" w:pos="709"/>
          <w:tab w:val="left" w:pos="851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A91612">
        <w:rPr>
          <w:b/>
          <w:i/>
          <w:sz w:val="28"/>
          <w:szCs w:val="28"/>
        </w:rPr>
        <w:t>для физических лиц - 6 000 рублей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b/>
          <w:i/>
          <w:sz w:val="28"/>
          <w:szCs w:val="28"/>
        </w:rPr>
      </w:pPr>
      <w:r w:rsidRPr="00A91612">
        <w:rPr>
          <w:b/>
          <w:i/>
          <w:sz w:val="28"/>
          <w:szCs w:val="28"/>
        </w:rPr>
        <w:tab/>
        <w:t>для юридических лиц - 66 000 рублей</w:t>
      </w:r>
      <w:r w:rsidR="00D363BE">
        <w:rPr>
          <w:b/>
          <w:i/>
          <w:sz w:val="28"/>
          <w:szCs w:val="28"/>
        </w:rPr>
        <w:t xml:space="preserve"> </w:t>
      </w:r>
      <w:r w:rsidR="00D363BE">
        <w:rPr>
          <w:b/>
          <w:bCs/>
          <w:i/>
          <w:iCs/>
          <w:sz w:val="28"/>
          <w:szCs w:val="28"/>
        </w:rPr>
        <w:t>(пп. 22.4 п. 1 ст. 333.33 НК РФ)</w:t>
      </w:r>
      <w:r w:rsidRPr="00A91612">
        <w:rPr>
          <w:b/>
          <w:i/>
          <w:sz w:val="28"/>
          <w:szCs w:val="28"/>
        </w:rPr>
        <w:t>.</w:t>
      </w:r>
    </w:p>
    <w:p w:rsidR="00D7536E" w:rsidRPr="00A91612" w:rsidRDefault="00D7536E">
      <w:pPr>
        <w:tabs>
          <w:tab w:val="left" w:pos="709"/>
          <w:tab w:val="left" w:pos="851"/>
        </w:tabs>
        <w:jc w:val="both"/>
        <w:rPr>
          <w:b/>
          <w:i/>
          <w:sz w:val="28"/>
          <w:szCs w:val="28"/>
        </w:rPr>
      </w:pPr>
    </w:p>
    <w:p w:rsidR="003C5E2F" w:rsidRPr="002D0E39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3C5E2F">
        <w:rPr>
          <w:i/>
          <w:iCs/>
          <w:sz w:val="28"/>
          <w:szCs w:val="28"/>
        </w:rPr>
        <w:t>Государственная пошлина не взимается</w:t>
      </w:r>
      <w:r w:rsidR="00B868D5">
        <w:rPr>
          <w:i/>
          <w:iCs/>
          <w:sz w:val="28"/>
          <w:szCs w:val="28"/>
        </w:rPr>
        <w:t xml:space="preserve"> при направлении</w:t>
      </w:r>
      <w:r w:rsidR="00B868D5" w:rsidRPr="00B868D5">
        <w:rPr>
          <w:sz w:val="28"/>
          <w:szCs w:val="28"/>
        </w:rPr>
        <w:t xml:space="preserve"> </w:t>
      </w:r>
      <w:r w:rsidR="00B868D5">
        <w:rPr>
          <w:sz w:val="28"/>
          <w:szCs w:val="28"/>
        </w:rPr>
        <w:t>органами государственной власти или органами местного самоуправления заявлений о государственном кадастровом учете и (или) государственной регистрации прав</w:t>
      </w:r>
      <w:r w:rsidR="003C5E2F" w:rsidRPr="002D0E39">
        <w:rPr>
          <w:sz w:val="28"/>
          <w:szCs w:val="28"/>
        </w:rPr>
        <w:t>:</w:t>
      </w:r>
    </w:p>
    <w:p w:rsidR="003C5E2F" w:rsidRPr="003C5E2F" w:rsidRDefault="003C5E2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B868D5" w:rsidRDefault="006F6C8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1612" w:rsidRPr="003C5E2F">
        <w:rPr>
          <w:sz w:val="28"/>
          <w:szCs w:val="28"/>
        </w:rPr>
        <w:t xml:space="preserve">- при предоставлении документов в рамках </w:t>
      </w:r>
      <w:r w:rsidR="003C5E2F" w:rsidRPr="003C5E2F">
        <w:rPr>
          <w:sz w:val="28"/>
          <w:szCs w:val="28"/>
        </w:rPr>
        <w:t xml:space="preserve">Федерального закона от 05.04.2021 № 79-ФЗ «О внесении изменений в отдельные законодательные акты Российской Федерации» </w:t>
      </w:r>
      <w:r w:rsidR="003C5E2F">
        <w:rPr>
          <w:sz w:val="28"/>
          <w:szCs w:val="28"/>
        </w:rPr>
        <w:t>(</w:t>
      </w:r>
      <w:r w:rsidR="00B868D5">
        <w:rPr>
          <w:sz w:val="28"/>
          <w:szCs w:val="28"/>
        </w:rPr>
        <w:t xml:space="preserve">далее – Закон о </w:t>
      </w:r>
      <w:r w:rsidR="003C5E2F">
        <w:rPr>
          <w:sz w:val="28"/>
          <w:szCs w:val="28"/>
        </w:rPr>
        <w:t xml:space="preserve">гаражной амнистии), в том числе </w:t>
      </w:r>
      <w:r w:rsidR="00B868D5">
        <w:rPr>
          <w:sz w:val="28"/>
          <w:szCs w:val="28"/>
        </w:rPr>
        <w:t>при</w:t>
      </w:r>
      <w:r w:rsidR="003C5E2F" w:rsidRPr="003C5E2F">
        <w:rPr>
          <w:sz w:val="28"/>
          <w:szCs w:val="28"/>
        </w:rPr>
        <w:t xml:space="preserve"> изменени</w:t>
      </w:r>
      <w:r w:rsidR="00B868D5">
        <w:rPr>
          <w:sz w:val="28"/>
          <w:szCs w:val="28"/>
        </w:rPr>
        <w:t>и</w:t>
      </w:r>
      <w:r w:rsidR="003C5E2F" w:rsidRPr="003C5E2F">
        <w:rPr>
          <w:sz w:val="28"/>
          <w:szCs w:val="28"/>
        </w:rPr>
        <w:t xml:space="preserve"> вида объекта недвижимости с «помещение» на «здание» в соответствии с ч</w:t>
      </w:r>
      <w:r w:rsidR="00657E9B">
        <w:rPr>
          <w:sz w:val="28"/>
          <w:szCs w:val="28"/>
        </w:rPr>
        <w:t>.</w:t>
      </w:r>
      <w:r w:rsidR="003C5E2F" w:rsidRPr="003C5E2F">
        <w:rPr>
          <w:sz w:val="28"/>
          <w:szCs w:val="28"/>
        </w:rPr>
        <w:t xml:space="preserve"> 1 ст</w:t>
      </w:r>
      <w:r w:rsidR="00657E9B">
        <w:rPr>
          <w:sz w:val="28"/>
          <w:szCs w:val="28"/>
        </w:rPr>
        <w:t>.</w:t>
      </w:r>
      <w:r w:rsidR="003C5E2F" w:rsidRPr="003C5E2F">
        <w:rPr>
          <w:sz w:val="28"/>
          <w:szCs w:val="28"/>
        </w:rPr>
        <w:t xml:space="preserve"> 18</w:t>
      </w:r>
      <w:r w:rsidR="00B868D5">
        <w:rPr>
          <w:sz w:val="28"/>
          <w:szCs w:val="28"/>
        </w:rPr>
        <w:t xml:space="preserve"> Закона о гаражной амнистии</w:t>
      </w:r>
      <w:r w:rsidR="00141A92">
        <w:rPr>
          <w:sz w:val="28"/>
          <w:szCs w:val="28"/>
        </w:rPr>
        <w:t>;</w:t>
      </w:r>
    </w:p>
    <w:p w:rsidR="00141A92" w:rsidRPr="00141A92" w:rsidRDefault="00141A9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905796" w:rsidRDefault="006F6C8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1A92" w:rsidRPr="00141A92">
        <w:rPr>
          <w:sz w:val="28"/>
          <w:szCs w:val="28"/>
        </w:rPr>
        <w:t xml:space="preserve">- </w:t>
      </w:r>
      <w:r w:rsidR="00A91612" w:rsidRPr="00141A92">
        <w:rPr>
          <w:sz w:val="28"/>
          <w:szCs w:val="28"/>
        </w:rPr>
        <w:t xml:space="preserve">за </w:t>
      </w:r>
      <w:r w:rsidR="00141A92">
        <w:rPr>
          <w:sz w:val="28"/>
          <w:szCs w:val="28"/>
        </w:rPr>
        <w:t xml:space="preserve">внесение </w:t>
      </w:r>
      <w:r w:rsidR="00A91612" w:rsidRPr="00141A92">
        <w:rPr>
          <w:sz w:val="28"/>
          <w:szCs w:val="28"/>
        </w:rPr>
        <w:t xml:space="preserve">сведений, установленных ст. 32 </w:t>
      </w:r>
      <w:hyperlink r:id="rId9" w:tooltip="https://www.consultant.ru/document/cons_doc_LAW_182661/" w:history="1">
        <w:r w:rsidR="00657E9B">
          <w:rPr>
            <w:sz w:val="28"/>
            <w:szCs w:val="28"/>
          </w:rPr>
          <w:t xml:space="preserve">Закона </w:t>
        </w:r>
        <w:r w:rsidR="00A91612" w:rsidRPr="00141A92">
          <w:rPr>
            <w:sz w:val="28"/>
            <w:szCs w:val="28"/>
          </w:rPr>
          <w:t>№ 218-ФЗ в порядке межведомственного</w:t>
        </w:r>
        <w:r w:rsidR="00141A92">
          <w:rPr>
            <w:sz w:val="28"/>
            <w:szCs w:val="28"/>
          </w:rPr>
          <w:t xml:space="preserve"> информационного</w:t>
        </w:r>
        <w:r w:rsidR="00A91612" w:rsidRPr="00141A92">
          <w:rPr>
            <w:sz w:val="28"/>
            <w:szCs w:val="28"/>
          </w:rPr>
          <w:t xml:space="preserve"> взаимодействия</w:t>
        </w:r>
      </w:hyperlink>
      <w:r w:rsidR="00141A92">
        <w:rPr>
          <w:sz w:val="28"/>
          <w:szCs w:val="28"/>
        </w:rPr>
        <w:t>.</w:t>
      </w:r>
    </w:p>
    <w:p w:rsidR="009901C1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1C1">
        <w:rPr>
          <w:sz w:val="28"/>
          <w:szCs w:val="28"/>
        </w:rPr>
        <w:t xml:space="preserve"> </w:t>
      </w:r>
    </w:p>
    <w:p w:rsidR="00905796" w:rsidRDefault="00A91612" w:rsidP="009901C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 Управления по вопросам государственного кадастрового учета и (или) государственной регистрации прав: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начальник отдела государственной регистрации недвижимости № 6 Илькунова Инна Викторовна, тел 8 (383) 330-14-23 – (в отношении объектов капитального строительства)</w:t>
      </w:r>
      <w:r w:rsidR="002D0E39">
        <w:rPr>
          <w:sz w:val="28"/>
          <w:szCs w:val="28"/>
        </w:rPr>
        <w:t>;</w:t>
      </w:r>
    </w:p>
    <w:p w:rsidR="00905796" w:rsidRDefault="00A91612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начальник отдела государственной регистрации недвижимости № 3 Анв</w:t>
      </w:r>
      <w:r w:rsidR="006F6C80">
        <w:rPr>
          <w:sz w:val="28"/>
          <w:szCs w:val="28"/>
        </w:rPr>
        <w:t>арова Анастасия Сергеевна, тел.</w:t>
      </w:r>
      <w:r>
        <w:rPr>
          <w:sz w:val="28"/>
          <w:szCs w:val="28"/>
        </w:rPr>
        <w:t xml:space="preserve"> 8 (383) 252-09-55</w:t>
      </w:r>
      <w:r w:rsidR="002D0E39">
        <w:rPr>
          <w:sz w:val="28"/>
          <w:szCs w:val="28"/>
        </w:rPr>
        <w:t xml:space="preserve"> – (в отношении земельных участков)</w:t>
      </w:r>
      <w:r>
        <w:rPr>
          <w:sz w:val="28"/>
          <w:szCs w:val="28"/>
        </w:rPr>
        <w:t>.</w:t>
      </w:r>
    </w:p>
    <w:p w:rsidR="00905796" w:rsidRDefault="00A9161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905796" w:rsidSect="00905796">
      <w:headerReference w:type="even" r:id="rId10"/>
      <w:headerReference w:type="default" r:id="rId11"/>
      <w:pgSz w:w="11909" w:h="16834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8A" w:rsidRDefault="00BC278A">
      <w:r>
        <w:separator/>
      </w:r>
    </w:p>
  </w:endnote>
  <w:endnote w:type="continuationSeparator" w:id="0">
    <w:p w:rsidR="00BC278A" w:rsidRDefault="00B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8A" w:rsidRDefault="00BC278A">
      <w:r>
        <w:separator/>
      </w:r>
    </w:p>
  </w:footnote>
  <w:footnote w:type="continuationSeparator" w:id="0">
    <w:p w:rsidR="00BC278A" w:rsidRDefault="00BC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39" w:rsidRDefault="00A13686">
    <w:pPr>
      <w:pStyle w:val="1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D0E3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D0E39" w:rsidRDefault="002D0E39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39" w:rsidRDefault="00A13686">
    <w:pPr>
      <w:pStyle w:val="1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D0E3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159C4">
      <w:rPr>
        <w:rStyle w:val="af7"/>
        <w:noProof/>
      </w:rPr>
      <w:t>3</w:t>
    </w:r>
    <w:r>
      <w:rPr>
        <w:rStyle w:val="af7"/>
      </w:rPr>
      <w:fldChar w:fldCharType="end"/>
    </w:r>
  </w:p>
  <w:p w:rsidR="002D0E39" w:rsidRDefault="002D0E3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F3B6D"/>
    <w:multiLevelType w:val="hybridMultilevel"/>
    <w:tmpl w:val="8E5E0F2E"/>
    <w:lvl w:ilvl="0" w:tplc="D0362DE4">
      <w:start w:val="1"/>
      <w:numFmt w:val="decimal"/>
      <w:lvlText w:val="%1."/>
      <w:lvlJc w:val="left"/>
      <w:pPr>
        <w:ind w:left="1068" w:hanging="360"/>
      </w:pPr>
      <w:rPr>
        <w:b/>
        <w:i w:val="0"/>
      </w:rPr>
    </w:lvl>
    <w:lvl w:ilvl="1" w:tplc="F938A136">
      <w:start w:val="1"/>
      <w:numFmt w:val="lowerLetter"/>
      <w:lvlText w:val="%2."/>
      <w:lvlJc w:val="left"/>
      <w:pPr>
        <w:ind w:left="1788" w:hanging="360"/>
      </w:pPr>
    </w:lvl>
    <w:lvl w:ilvl="2" w:tplc="1AF0DDAC">
      <w:start w:val="1"/>
      <w:numFmt w:val="lowerRoman"/>
      <w:lvlText w:val="%3."/>
      <w:lvlJc w:val="right"/>
      <w:pPr>
        <w:ind w:left="2508" w:hanging="180"/>
      </w:pPr>
    </w:lvl>
    <w:lvl w:ilvl="3" w:tplc="A0D6E38A">
      <w:start w:val="1"/>
      <w:numFmt w:val="decimal"/>
      <w:lvlText w:val="%4."/>
      <w:lvlJc w:val="left"/>
      <w:pPr>
        <w:ind w:left="3228" w:hanging="360"/>
      </w:pPr>
    </w:lvl>
    <w:lvl w:ilvl="4" w:tplc="CADE3656">
      <w:start w:val="1"/>
      <w:numFmt w:val="lowerLetter"/>
      <w:lvlText w:val="%5."/>
      <w:lvlJc w:val="left"/>
      <w:pPr>
        <w:ind w:left="3948" w:hanging="360"/>
      </w:pPr>
    </w:lvl>
    <w:lvl w:ilvl="5" w:tplc="C8A2AA18">
      <w:start w:val="1"/>
      <w:numFmt w:val="lowerRoman"/>
      <w:lvlText w:val="%6."/>
      <w:lvlJc w:val="right"/>
      <w:pPr>
        <w:ind w:left="4668" w:hanging="180"/>
      </w:pPr>
    </w:lvl>
    <w:lvl w:ilvl="6" w:tplc="E65C029E">
      <w:start w:val="1"/>
      <w:numFmt w:val="decimal"/>
      <w:lvlText w:val="%7."/>
      <w:lvlJc w:val="left"/>
      <w:pPr>
        <w:ind w:left="5388" w:hanging="360"/>
      </w:pPr>
    </w:lvl>
    <w:lvl w:ilvl="7" w:tplc="E4EAA456">
      <w:start w:val="1"/>
      <w:numFmt w:val="lowerLetter"/>
      <w:lvlText w:val="%8."/>
      <w:lvlJc w:val="left"/>
      <w:pPr>
        <w:ind w:left="6108" w:hanging="360"/>
      </w:pPr>
    </w:lvl>
    <w:lvl w:ilvl="8" w:tplc="E33E67D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96"/>
    <w:rsid w:val="00026866"/>
    <w:rsid w:val="000423A3"/>
    <w:rsid w:val="000E29B2"/>
    <w:rsid w:val="00141A92"/>
    <w:rsid w:val="002127D2"/>
    <w:rsid w:val="002D0E39"/>
    <w:rsid w:val="003159C4"/>
    <w:rsid w:val="003C5E2F"/>
    <w:rsid w:val="00435B54"/>
    <w:rsid w:val="004C5CBF"/>
    <w:rsid w:val="00657E9B"/>
    <w:rsid w:val="006B71EC"/>
    <w:rsid w:val="006F6C80"/>
    <w:rsid w:val="00760A84"/>
    <w:rsid w:val="00875DE6"/>
    <w:rsid w:val="00905796"/>
    <w:rsid w:val="009901C1"/>
    <w:rsid w:val="00A13686"/>
    <w:rsid w:val="00A367C3"/>
    <w:rsid w:val="00A91612"/>
    <w:rsid w:val="00B1470C"/>
    <w:rsid w:val="00B868D5"/>
    <w:rsid w:val="00BC278A"/>
    <w:rsid w:val="00C2539C"/>
    <w:rsid w:val="00CD33BB"/>
    <w:rsid w:val="00D363BE"/>
    <w:rsid w:val="00D7536E"/>
    <w:rsid w:val="00DD7D24"/>
    <w:rsid w:val="00E55E5C"/>
    <w:rsid w:val="00F031AF"/>
    <w:rsid w:val="00F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823AB27-F857-4E84-B79A-7A6B24D8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057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057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0579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057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0579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057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0579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057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90579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057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0579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057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0579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057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0579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057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057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05796"/>
    <w:pPr>
      <w:ind w:left="720"/>
      <w:contextualSpacing/>
    </w:pPr>
  </w:style>
  <w:style w:type="paragraph" w:styleId="a4">
    <w:name w:val="No Spacing"/>
    <w:uiPriority w:val="1"/>
    <w:qFormat/>
    <w:rsid w:val="0090579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0579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057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0579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057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57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57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057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05796"/>
    <w:rPr>
      <w:i/>
    </w:rPr>
  </w:style>
  <w:style w:type="character" w:customStyle="1" w:styleId="HeaderChar">
    <w:name w:val="Header Char"/>
    <w:basedOn w:val="a0"/>
    <w:uiPriority w:val="99"/>
    <w:rsid w:val="00905796"/>
  </w:style>
  <w:style w:type="paragraph" w:customStyle="1" w:styleId="1">
    <w:name w:val="Нижний колонтитул1"/>
    <w:basedOn w:val="a"/>
    <w:link w:val="CaptionChar"/>
    <w:uiPriority w:val="99"/>
    <w:unhideWhenUsed/>
    <w:rsid w:val="009057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05796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057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905796"/>
  </w:style>
  <w:style w:type="table" w:styleId="ab">
    <w:name w:val="Table Grid"/>
    <w:basedOn w:val="a1"/>
    <w:uiPriority w:val="59"/>
    <w:rsid w:val="009057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057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057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905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57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5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0579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05796"/>
    <w:rPr>
      <w:sz w:val="18"/>
    </w:rPr>
  </w:style>
  <w:style w:type="character" w:styleId="ae">
    <w:name w:val="footnote reference"/>
    <w:basedOn w:val="a0"/>
    <w:uiPriority w:val="99"/>
    <w:unhideWhenUsed/>
    <w:rsid w:val="0090579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05796"/>
  </w:style>
  <w:style w:type="character" w:customStyle="1" w:styleId="af0">
    <w:name w:val="Текст концевой сноски Знак"/>
    <w:link w:val="af"/>
    <w:uiPriority w:val="99"/>
    <w:rsid w:val="00905796"/>
    <w:rPr>
      <w:sz w:val="20"/>
    </w:rPr>
  </w:style>
  <w:style w:type="character" w:styleId="af1">
    <w:name w:val="endnote reference"/>
    <w:basedOn w:val="a0"/>
    <w:uiPriority w:val="99"/>
    <w:semiHidden/>
    <w:unhideWhenUsed/>
    <w:rsid w:val="0090579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05796"/>
    <w:pPr>
      <w:spacing w:after="57"/>
    </w:pPr>
  </w:style>
  <w:style w:type="paragraph" w:styleId="22">
    <w:name w:val="toc 2"/>
    <w:basedOn w:val="a"/>
    <w:next w:val="a"/>
    <w:uiPriority w:val="39"/>
    <w:unhideWhenUsed/>
    <w:rsid w:val="009057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57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57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57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57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57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57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5796"/>
    <w:pPr>
      <w:spacing w:after="57"/>
      <w:ind w:left="2268"/>
    </w:pPr>
  </w:style>
  <w:style w:type="paragraph" w:styleId="af2">
    <w:name w:val="TOC Heading"/>
    <w:uiPriority w:val="39"/>
    <w:unhideWhenUsed/>
    <w:rsid w:val="00905796"/>
  </w:style>
  <w:style w:type="paragraph" w:styleId="af3">
    <w:name w:val="table of figures"/>
    <w:basedOn w:val="a"/>
    <w:next w:val="a"/>
    <w:uiPriority w:val="99"/>
    <w:unhideWhenUsed/>
    <w:rsid w:val="00905796"/>
  </w:style>
  <w:style w:type="paragraph" w:customStyle="1" w:styleId="210">
    <w:name w:val="Заголовок 21"/>
    <w:basedOn w:val="a"/>
    <w:next w:val="a"/>
    <w:link w:val="23"/>
    <w:qFormat/>
    <w:rsid w:val="00905796"/>
    <w:pPr>
      <w:keepNext/>
      <w:jc w:val="center"/>
      <w:outlineLvl w:val="1"/>
    </w:pPr>
    <w:rPr>
      <w:sz w:val="24"/>
    </w:rPr>
  </w:style>
  <w:style w:type="character" w:customStyle="1" w:styleId="23">
    <w:name w:val="Заголовок 2 Знак"/>
    <w:basedOn w:val="a0"/>
    <w:link w:val="210"/>
    <w:rsid w:val="009057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rsid w:val="00905796"/>
    <w:pPr>
      <w:ind w:left="-567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9057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Верхний колонтитул1"/>
    <w:basedOn w:val="a"/>
    <w:link w:val="af6"/>
    <w:uiPriority w:val="99"/>
    <w:rsid w:val="0090579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13"/>
    <w:uiPriority w:val="99"/>
    <w:rsid w:val="009057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905796"/>
  </w:style>
  <w:style w:type="character" w:styleId="af8">
    <w:name w:val="Hyperlink"/>
    <w:basedOn w:val="a0"/>
    <w:unhideWhenUsed/>
    <w:rsid w:val="00905796"/>
    <w:rPr>
      <w:color w:val="0000FF"/>
      <w:u w:val="single"/>
    </w:rPr>
  </w:style>
  <w:style w:type="paragraph" w:customStyle="1" w:styleId="TableParagraph">
    <w:name w:val="Table Paragraph"/>
    <w:uiPriority w:val="1"/>
    <w:qFormat/>
    <w:rsid w:val="0090579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FontStyle181">
    <w:name w:val="Font Style181"/>
    <w:basedOn w:val="a0"/>
    <w:uiPriority w:val="99"/>
    <w:rsid w:val="00A9161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reestr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8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zam</cp:lastModifiedBy>
  <cp:revision>5</cp:revision>
  <cp:lastPrinted>2025-01-21T07:41:00Z</cp:lastPrinted>
  <dcterms:created xsi:type="dcterms:W3CDTF">2025-01-21T08:01:00Z</dcterms:created>
  <dcterms:modified xsi:type="dcterms:W3CDTF">2025-01-27T01:25:00Z</dcterms:modified>
</cp:coreProperties>
</file>